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5E7A7" w14:textId="77777777" w:rsidR="002737EB" w:rsidRPr="00252B6B" w:rsidRDefault="002737EB" w:rsidP="002737EB">
      <w:pPr>
        <w:tabs>
          <w:tab w:val="left" w:pos="4320"/>
        </w:tabs>
        <w:spacing w:after="0" w:line="240" w:lineRule="auto"/>
        <w:ind w:right="-142"/>
        <w:jc w:val="center"/>
        <w:rPr>
          <w:rFonts w:ascii="Times New Roman" w:eastAsia="Times New Roman" w:hAnsi="Times New Roman"/>
          <w:b/>
          <w:sz w:val="24"/>
          <w:szCs w:val="24"/>
          <w:lang w:eastAsia="bg-BG"/>
        </w:rPr>
      </w:pPr>
    </w:p>
    <w:p w14:paraId="71D49E8C" w14:textId="77777777" w:rsidR="002737EB" w:rsidRPr="00252B6B" w:rsidRDefault="002737EB" w:rsidP="00B945B6">
      <w:pPr>
        <w:tabs>
          <w:tab w:val="left" w:pos="4320"/>
        </w:tabs>
        <w:spacing w:after="0" w:line="240" w:lineRule="auto"/>
        <w:ind w:right="-142"/>
        <w:rPr>
          <w:rFonts w:ascii="Times New Roman" w:eastAsia="Times New Roman" w:hAnsi="Times New Roman"/>
          <w:b/>
          <w:sz w:val="24"/>
          <w:szCs w:val="24"/>
          <w:lang w:eastAsia="bg-BG"/>
        </w:rPr>
      </w:pPr>
    </w:p>
    <w:p w14:paraId="04D35980" w14:textId="77777777" w:rsidR="002737EB" w:rsidRPr="00252B6B" w:rsidRDefault="002737EB" w:rsidP="00B945B6">
      <w:pPr>
        <w:tabs>
          <w:tab w:val="left" w:pos="4320"/>
        </w:tabs>
        <w:spacing w:after="0" w:line="240" w:lineRule="auto"/>
        <w:ind w:right="-142"/>
        <w:rPr>
          <w:rFonts w:ascii="Times New Roman" w:eastAsia="Times New Roman" w:hAnsi="Times New Roman"/>
          <w:b/>
          <w:sz w:val="24"/>
          <w:szCs w:val="24"/>
          <w:lang w:eastAsia="bg-BG"/>
        </w:rPr>
      </w:pPr>
    </w:p>
    <w:p w14:paraId="3B1D2D16" w14:textId="79365E04" w:rsidR="002737EB" w:rsidRPr="00252B6B" w:rsidRDefault="008B0C6C" w:rsidP="002737EB">
      <w:pPr>
        <w:tabs>
          <w:tab w:val="left" w:pos="4320"/>
        </w:tabs>
        <w:spacing w:after="0" w:line="240" w:lineRule="auto"/>
        <w:ind w:right="-142"/>
        <w:jc w:val="center"/>
        <w:rPr>
          <w:rFonts w:ascii="Times New Roman" w:eastAsia="Times New Roman" w:hAnsi="Times New Roman"/>
          <w:b/>
          <w:sz w:val="24"/>
          <w:szCs w:val="24"/>
          <w:lang w:eastAsia="bg-BG"/>
        </w:rPr>
      </w:pPr>
      <w:r w:rsidRPr="00DA094C">
        <w:rPr>
          <w:rFonts w:ascii="Times New Roman" w:hAnsi="Times New Roman"/>
          <w:noProof/>
          <w:sz w:val="24"/>
          <w:szCs w:val="24"/>
          <w:lang w:eastAsia="bg-BG"/>
        </w:rPr>
        <w:drawing>
          <wp:inline distT="0" distB="0" distL="0" distR="0" wp14:anchorId="2F0BE66C" wp14:editId="02C5CC2C">
            <wp:extent cx="1095375" cy="86677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66775"/>
                    </a:xfrm>
                    <a:prstGeom prst="rect">
                      <a:avLst/>
                    </a:prstGeom>
                    <a:noFill/>
                    <a:ln>
                      <a:noFill/>
                    </a:ln>
                  </pic:spPr>
                </pic:pic>
              </a:graphicData>
            </a:graphic>
          </wp:inline>
        </w:drawing>
      </w:r>
    </w:p>
    <w:p w14:paraId="69577790" w14:textId="77777777" w:rsidR="002737EB" w:rsidRPr="00252B6B" w:rsidRDefault="002737EB" w:rsidP="00B945B6">
      <w:pPr>
        <w:tabs>
          <w:tab w:val="left" w:pos="4320"/>
        </w:tabs>
        <w:spacing w:after="0" w:line="240" w:lineRule="auto"/>
        <w:ind w:right="-142"/>
        <w:rPr>
          <w:rFonts w:ascii="Times New Roman" w:eastAsia="Times New Roman" w:hAnsi="Times New Roman"/>
          <w:b/>
          <w:sz w:val="24"/>
          <w:szCs w:val="24"/>
          <w:lang w:eastAsia="bg-BG"/>
        </w:rPr>
      </w:pPr>
    </w:p>
    <w:p w14:paraId="5B92AF98" w14:textId="77777777" w:rsidR="002737EB" w:rsidRPr="00252B6B" w:rsidRDefault="002737EB" w:rsidP="002737EB">
      <w:pPr>
        <w:tabs>
          <w:tab w:val="left" w:pos="4320"/>
        </w:tabs>
        <w:spacing w:after="0" w:line="240" w:lineRule="auto"/>
        <w:ind w:right="-142"/>
        <w:jc w:val="center"/>
        <w:rPr>
          <w:rFonts w:ascii="Times New Roman" w:eastAsia="Times New Roman" w:hAnsi="Times New Roman"/>
          <w:b/>
          <w:sz w:val="24"/>
          <w:szCs w:val="24"/>
          <w:lang w:eastAsia="bg-BG"/>
        </w:rPr>
      </w:pPr>
      <w:r w:rsidRPr="00252B6B">
        <w:rPr>
          <w:rFonts w:ascii="Times New Roman" w:eastAsia="Times New Roman" w:hAnsi="Times New Roman"/>
          <w:b/>
          <w:sz w:val="24"/>
          <w:szCs w:val="24"/>
          <w:lang w:eastAsia="bg-BG"/>
        </w:rPr>
        <w:t>Р Е П У Б Л И К А   Б Ъ Л Г А Р И Я</w:t>
      </w:r>
    </w:p>
    <w:p w14:paraId="256743B8" w14:textId="77777777" w:rsidR="002737EB" w:rsidRPr="00252B6B" w:rsidRDefault="002737EB" w:rsidP="002737EB">
      <w:pPr>
        <w:tabs>
          <w:tab w:val="left" w:pos="4320"/>
        </w:tabs>
        <w:spacing w:after="0" w:line="240" w:lineRule="auto"/>
        <w:ind w:right="-142"/>
        <w:rPr>
          <w:rFonts w:ascii="Times New Roman" w:eastAsia="Times New Roman" w:hAnsi="Times New Roman"/>
          <w:b/>
          <w:sz w:val="24"/>
          <w:szCs w:val="24"/>
          <w:lang w:eastAsia="bg-BG"/>
        </w:rPr>
      </w:pPr>
    </w:p>
    <w:p w14:paraId="059DBA19" w14:textId="77777777" w:rsidR="002737EB" w:rsidRPr="00252B6B" w:rsidRDefault="002737EB" w:rsidP="002737EB">
      <w:pPr>
        <w:tabs>
          <w:tab w:val="left" w:pos="4320"/>
        </w:tabs>
        <w:spacing w:after="0" w:line="240" w:lineRule="auto"/>
        <w:ind w:right="-142"/>
        <w:jc w:val="center"/>
        <w:rPr>
          <w:rFonts w:ascii="Times New Roman" w:eastAsia="Times New Roman" w:hAnsi="Times New Roman"/>
          <w:b/>
          <w:sz w:val="24"/>
          <w:szCs w:val="24"/>
          <w:lang w:eastAsia="bg-BG"/>
        </w:rPr>
      </w:pPr>
      <w:r w:rsidRPr="00252B6B">
        <w:rPr>
          <w:rFonts w:ascii="Times New Roman" w:eastAsia="Times New Roman" w:hAnsi="Times New Roman"/>
          <w:b/>
          <w:sz w:val="24"/>
          <w:szCs w:val="24"/>
          <w:lang w:eastAsia="bg-BG"/>
        </w:rPr>
        <w:t>МИНИСТЕРСТВО НА ОКОЛНАТА СРЕДА И ВОДИТЕ</w:t>
      </w:r>
    </w:p>
    <w:p w14:paraId="0EF8F2CE" w14:textId="77777777" w:rsidR="002D78DA" w:rsidRPr="00792F66" w:rsidRDefault="002D78DA" w:rsidP="00B945B6">
      <w:pPr>
        <w:spacing w:after="0" w:line="240" w:lineRule="auto"/>
        <w:rPr>
          <w:rFonts w:ascii="Times New Roman" w:eastAsia="Times New Roman" w:hAnsi="Times New Roman"/>
          <w:b/>
          <w:bCs/>
          <w:sz w:val="24"/>
          <w:szCs w:val="24"/>
          <w:bdr w:val="none" w:sz="0" w:space="0" w:color="auto" w:frame="1"/>
          <w:lang w:val="ru-RU" w:eastAsia="bg-BG"/>
        </w:rPr>
      </w:pPr>
    </w:p>
    <w:p w14:paraId="7F877245" w14:textId="77777777" w:rsidR="002737EB" w:rsidRPr="00792F66" w:rsidRDefault="002737EB" w:rsidP="00B945B6">
      <w:pPr>
        <w:spacing w:after="0" w:line="240" w:lineRule="auto"/>
        <w:rPr>
          <w:rFonts w:ascii="Times New Roman" w:eastAsia="Times New Roman" w:hAnsi="Times New Roman"/>
          <w:b/>
          <w:bCs/>
          <w:sz w:val="24"/>
          <w:szCs w:val="24"/>
          <w:bdr w:val="none" w:sz="0" w:space="0" w:color="auto" w:frame="1"/>
          <w:lang w:val="ru-RU" w:eastAsia="bg-BG"/>
        </w:rPr>
      </w:pPr>
    </w:p>
    <w:p w14:paraId="0A37AC11" w14:textId="77777777" w:rsidR="002737EB" w:rsidRPr="00792F66" w:rsidRDefault="002737EB" w:rsidP="00B945B6">
      <w:pPr>
        <w:spacing w:after="0" w:line="240" w:lineRule="auto"/>
        <w:rPr>
          <w:rFonts w:ascii="Times New Roman" w:eastAsia="Times New Roman" w:hAnsi="Times New Roman"/>
          <w:b/>
          <w:bCs/>
          <w:sz w:val="24"/>
          <w:szCs w:val="24"/>
          <w:bdr w:val="none" w:sz="0" w:space="0" w:color="auto" w:frame="1"/>
          <w:lang w:val="ru-RU" w:eastAsia="bg-BG"/>
        </w:rPr>
      </w:pPr>
    </w:p>
    <w:p w14:paraId="14D0CA57" w14:textId="77777777" w:rsidR="002737EB" w:rsidRPr="00792F66" w:rsidRDefault="002737EB" w:rsidP="00B945B6">
      <w:pPr>
        <w:spacing w:after="0" w:line="240" w:lineRule="auto"/>
        <w:rPr>
          <w:rFonts w:ascii="Times New Roman" w:eastAsia="Times New Roman" w:hAnsi="Times New Roman"/>
          <w:b/>
          <w:bCs/>
          <w:sz w:val="24"/>
          <w:szCs w:val="24"/>
          <w:bdr w:val="none" w:sz="0" w:space="0" w:color="auto" w:frame="1"/>
          <w:lang w:val="ru-RU" w:eastAsia="bg-BG"/>
        </w:rPr>
      </w:pPr>
    </w:p>
    <w:p w14:paraId="28EF2DFE" w14:textId="77777777" w:rsidR="002737EB" w:rsidRPr="00792F66" w:rsidRDefault="002737EB" w:rsidP="00B945B6">
      <w:pPr>
        <w:spacing w:after="0" w:line="240" w:lineRule="auto"/>
        <w:rPr>
          <w:rFonts w:ascii="Times New Roman" w:eastAsia="Times New Roman" w:hAnsi="Times New Roman"/>
          <w:b/>
          <w:bCs/>
          <w:sz w:val="24"/>
          <w:szCs w:val="24"/>
          <w:bdr w:val="none" w:sz="0" w:space="0" w:color="auto" w:frame="1"/>
          <w:lang w:val="ru-RU" w:eastAsia="bg-BG"/>
        </w:rPr>
      </w:pPr>
    </w:p>
    <w:p w14:paraId="7AC44090"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55EDC59A" w14:textId="77777777" w:rsidR="00A23067" w:rsidRPr="003C07FE"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1DC2975D" w14:textId="77777777" w:rsidR="00A23067" w:rsidRPr="003C07FE"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4D358C46" w14:textId="77777777" w:rsidR="00A23067" w:rsidRPr="003C07FE" w:rsidRDefault="00A23067" w:rsidP="00B945B6">
      <w:pPr>
        <w:spacing w:after="0" w:line="240" w:lineRule="auto"/>
        <w:rPr>
          <w:rFonts w:ascii="Times New Roman" w:eastAsia="Times New Roman" w:hAnsi="Times New Roman"/>
          <w:b/>
          <w:bCs/>
          <w:sz w:val="28"/>
          <w:szCs w:val="28"/>
          <w:bdr w:val="none" w:sz="0" w:space="0" w:color="auto" w:frame="1"/>
          <w:lang w:val="ru-RU" w:eastAsia="bg-BG"/>
        </w:rPr>
      </w:pPr>
    </w:p>
    <w:p w14:paraId="1A5329D5" w14:textId="77777777" w:rsidR="00A23067" w:rsidRPr="003C07FE" w:rsidRDefault="002737EB" w:rsidP="002737EB">
      <w:pPr>
        <w:spacing w:after="0" w:line="240" w:lineRule="auto"/>
        <w:jc w:val="center"/>
        <w:rPr>
          <w:rFonts w:ascii="Times New Roman" w:eastAsia="Times New Roman" w:hAnsi="Times New Roman"/>
          <w:b/>
          <w:bCs/>
          <w:sz w:val="28"/>
          <w:szCs w:val="28"/>
          <w:bdr w:val="none" w:sz="0" w:space="0" w:color="auto" w:frame="1"/>
          <w:lang w:eastAsia="bg-BG"/>
        </w:rPr>
      </w:pPr>
      <w:bookmarkStart w:id="0" w:name="_GoBack"/>
      <w:bookmarkEnd w:id="0"/>
      <w:r w:rsidRPr="003C07FE">
        <w:rPr>
          <w:rFonts w:ascii="Times New Roman" w:eastAsia="Times New Roman" w:hAnsi="Times New Roman"/>
          <w:b/>
          <w:bCs/>
          <w:sz w:val="28"/>
          <w:szCs w:val="28"/>
          <w:bdr w:val="none" w:sz="0" w:space="0" w:color="auto" w:frame="1"/>
          <w:lang w:eastAsia="bg-BG"/>
        </w:rPr>
        <w:t xml:space="preserve">ОТЧЕТ </w:t>
      </w:r>
    </w:p>
    <w:p w14:paraId="0378800A" w14:textId="70AF1972" w:rsidR="00891F43" w:rsidRPr="003C07FE" w:rsidRDefault="003209AA" w:rsidP="002737EB">
      <w:pPr>
        <w:spacing w:after="0" w:line="240" w:lineRule="auto"/>
        <w:jc w:val="center"/>
        <w:rPr>
          <w:rFonts w:ascii="Times New Roman" w:eastAsia="Times New Roman" w:hAnsi="Times New Roman"/>
          <w:b/>
          <w:bCs/>
          <w:sz w:val="28"/>
          <w:szCs w:val="28"/>
          <w:bdr w:val="none" w:sz="0" w:space="0" w:color="auto" w:frame="1"/>
          <w:lang w:eastAsia="bg-BG"/>
        </w:rPr>
      </w:pPr>
      <w:r w:rsidRPr="003C07FE">
        <w:rPr>
          <w:rFonts w:ascii="Times New Roman" w:eastAsia="Times New Roman" w:hAnsi="Times New Roman"/>
          <w:b/>
          <w:bCs/>
          <w:sz w:val="28"/>
          <w:szCs w:val="28"/>
          <w:bdr w:val="none" w:sz="0" w:space="0" w:color="auto" w:frame="1"/>
          <w:lang w:eastAsia="bg-BG"/>
        </w:rPr>
        <w:t xml:space="preserve">за </w:t>
      </w:r>
      <w:r w:rsidR="00036303" w:rsidRPr="003C07FE">
        <w:rPr>
          <w:rFonts w:ascii="Times New Roman" w:eastAsia="Times New Roman" w:hAnsi="Times New Roman"/>
          <w:b/>
          <w:bCs/>
          <w:sz w:val="28"/>
          <w:szCs w:val="28"/>
          <w:bdr w:val="none" w:sz="0" w:space="0" w:color="auto" w:frame="1"/>
          <w:lang w:eastAsia="bg-BG"/>
        </w:rPr>
        <w:t>202</w:t>
      </w:r>
      <w:r w:rsidR="00036303" w:rsidRPr="003C07FE">
        <w:rPr>
          <w:rFonts w:ascii="Times New Roman" w:eastAsia="Times New Roman" w:hAnsi="Times New Roman"/>
          <w:b/>
          <w:bCs/>
          <w:sz w:val="28"/>
          <w:szCs w:val="28"/>
          <w:bdr w:val="none" w:sz="0" w:space="0" w:color="auto" w:frame="1"/>
          <w:lang w:val="ru-RU" w:eastAsia="bg-BG"/>
        </w:rPr>
        <w:t>3</w:t>
      </w:r>
      <w:r w:rsidR="00036303" w:rsidRPr="003C07FE">
        <w:rPr>
          <w:rFonts w:ascii="Times New Roman" w:eastAsia="Times New Roman" w:hAnsi="Times New Roman"/>
          <w:b/>
          <w:bCs/>
          <w:sz w:val="28"/>
          <w:szCs w:val="28"/>
          <w:bdr w:val="none" w:sz="0" w:space="0" w:color="auto" w:frame="1"/>
          <w:lang w:eastAsia="bg-BG"/>
        </w:rPr>
        <w:t>г</w:t>
      </w:r>
      <w:r w:rsidR="00891F43" w:rsidRPr="003C07FE">
        <w:rPr>
          <w:rFonts w:ascii="Times New Roman" w:eastAsia="Times New Roman" w:hAnsi="Times New Roman"/>
          <w:b/>
          <w:bCs/>
          <w:sz w:val="28"/>
          <w:szCs w:val="28"/>
          <w:bdr w:val="none" w:sz="0" w:space="0" w:color="auto" w:frame="1"/>
          <w:lang w:eastAsia="bg-BG"/>
        </w:rPr>
        <w:t>.</w:t>
      </w:r>
    </w:p>
    <w:p w14:paraId="40D4A0D4" w14:textId="77777777" w:rsidR="00A23067" w:rsidRPr="003C07FE" w:rsidRDefault="00A23067" w:rsidP="002737EB">
      <w:pPr>
        <w:spacing w:after="0" w:line="240" w:lineRule="auto"/>
        <w:jc w:val="center"/>
        <w:rPr>
          <w:rFonts w:ascii="Times New Roman" w:eastAsia="Times New Roman" w:hAnsi="Times New Roman"/>
          <w:b/>
          <w:bCs/>
          <w:sz w:val="28"/>
          <w:szCs w:val="28"/>
          <w:bdr w:val="none" w:sz="0" w:space="0" w:color="auto" w:frame="1"/>
          <w:lang w:eastAsia="bg-BG"/>
        </w:rPr>
      </w:pPr>
      <w:r w:rsidRPr="003C07FE">
        <w:rPr>
          <w:rFonts w:ascii="Times New Roman" w:eastAsia="Times New Roman" w:hAnsi="Times New Roman"/>
          <w:b/>
          <w:bCs/>
          <w:sz w:val="28"/>
          <w:szCs w:val="28"/>
          <w:bdr w:val="none" w:sz="0" w:space="0" w:color="auto" w:frame="1"/>
          <w:lang w:eastAsia="bg-BG"/>
        </w:rPr>
        <w:t>З</w:t>
      </w:r>
      <w:r w:rsidR="002737EB" w:rsidRPr="003C07FE">
        <w:rPr>
          <w:rFonts w:ascii="Times New Roman" w:eastAsia="Times New Roman" w:hAnsi="Times New Roman"/>
          <w:b/>
          <w:bCs/>
          <w:sz w:val="28"/>
          <w:szCs w:val="28"/>
          <w:bdr w:val="none" w:sz="0" w:space="0" w:color="auto" w:frame="1"/>
          <w:lang w:eastAsia="bg-BG"/>
        </w:rPr>
        <w:t xml:space="preserve">А ИЗПЪЛНЕНИЕТО НА </w:t>
      </w:r>
    </w:p>
    <w:p w14:paraId="382AAA66" w14:textId="77777777" w:rsidR="0045792D" w:rsidRPr="003C07FE" w:rsidRDefault="002737EB" w:rsidP="002737EB">
      <w:pPr>
        <w:spacing w:after="0" w:line="240" w:lineRule="auto"/>
        <w:jc w:val="center"/>
        <w:rPr>
          <w:rFonts w:ascii="Times New Roman" w:eastAsia="Times New Roman" w:hAnsi="Times New Roman"/>
          <w:i/>
          <w:sz w:val="28"/>
          <w:szCs w:val="28"/>
          <w:lang w:eastAsia="bg-BG"/>
        </w:rPr>
      </w:pPr>
      <w:r w:rsidRPr="003C07FE">
        <w:rPr>
          <w:rFonts w:ascii="Times New Roman" w:eastAsia="Times New Roman" w:hAnsi="Times New Roman"/>
          <w:b/>
          <w:sz w:val="28"/>
          <w:szCs w:val="28"/>
          <w:lang w:eastAsia="bg-BG"/>
        </w:rPr>
        <w:t>НАЦИОНАЛНА ПРОГРАМА ЗА ПОДОБРЯВАНЕ КАЧЕСТВОТО НА АТМОСФЕРНИЯ ВЪЗДУХ 2018 – 2024</w:t>
      </w:r>
      <w:r w:rsidR="00C11DD3" w:rsidRPr="003C07FE">
        <w:rPr>
          <w:rFonts w:ascii="Times New Roman" w:eastAsia="Times New Roman" w:hAnsi="Times New Roman"/>
          <w:b/>
          <w:sz w:val="28"/>
          <w:szCs w:val="28"/>
          <w:lang w:eastAsia="bg-BG"/>
        </w:rPr>
        <w:t>г</w:t>
      </w:r>
      <w:r w:rsidRPr="003C07FE">
        <w:rPr>
          <w:rFonts w:ascii="Times New Roman" w:eastAsia="Times New Roman" w:hAnsi="Times New Roman"/>
          <w:b/>
          <w:sz w:val="28"/>
          <w:szCs w:val="28"/>
          <w:lang w:eastAsia="bg-BG"/>
        </w:rPr>
        <w:t>.</w:t>
      </w:r>
    </w:p>
    <w:p w14:paraId="57D7EC89" w14:textId="77777777" w:rsidR="00344A2F" w:rsidRPr="003C07FE" w:rsidRDefault="00344A2F" w:rsidP="00B945B6">
      <w:pPr>
        <w:spacing w:after="0" w:line="240" w:lineRule="auto"/>
        <w:rPr>
          <w:rFonts w:ascii="Times New Roman" w:eastAsia="Times New Roman" w:hAnsi="Times New Roman"/>
          <w:b/>
          <w:bCs/>
          <w:sz w:val="24"/>
          <w:szCs w:val="24"/>
          <w:bdr w:val="none" w:sz="0" w:space="0" w:color="auto" w:frame="1"/>
          <w:lang w:val="ru-RU" w:eastAsia="bg-BG"/>
        </w:rPr>
      </w:pPr>
    </w:p>
    <w:p w14:paraId="119A29AD" w14:textId="77777777" w:rsidR="002D78DA" w:rsidRPr="003C07FE" w:rsidRDefault="002D78DA" w:rsidP="00B945B6">
      <w:pPr>
        <w:spacing w:after="0" w:line="240" w:lineRule="auto"/>
        <w:rPr>
          <w:rFonts w:ascii="Times New Roman" w:eastAsia="Times New Roman" w:hAnsi="Times New Roman"/>
          <w:b/>
          <w:bCs/>
          <w:sz w:val="24"/>
          <w:szCs w:val="24"/>
          <w:bdr w:val="none" w:sz="0" w:space="0" w:color="auto" w:frame="1"/>
          <w:lang w:val="ru-RU" w:eastAsia="bg-BG"/>
        </w:rPr>
      </w:pPr>
    </w:p>
    <w:p w14:paraId="623D8685" w14:textId="77777777" w:rsidR="00A23067" w:rsidRPr="003C07FE"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6D5E90C1" w14:textId="77777777" w:rsidR="00A23067" w:rsidRPr="003C07FE"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5FE4204A" w14:textId="77777777" w:rsidR="00A23067" w:rsidRPr="003C07FE"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4DB7B18A"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1B22E23D"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244DEF3D"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5CDFD006"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113C605B"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5449454B"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19F43DF8"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49F9FFE7"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16DB0C39"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6C70AF3C"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39FF8A68"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1B6D8A21"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5458DF5D" w14:textId="77777777" w:rsidR="00A23067" w:rsidRPr="00792F66" w:rsidRDefault="00A23067" w:rsidP="00B945B6">
      <w:pPr>
        <w:spacing w:after="0" w:line="240" w:lineRule="auto"/>
        <w:rPr>
          <w:rFonts w:ascii="Times New Roman" w:eastAsia="Times New Roman" w:hAnsi="Times New Roman"/>
          <w:b/>
          <w:bCs/>
          <w:sz w:val="24"/>
          <w:szCs w:val="24"/>
          <w:bdr w:val="none" w:sz="0" w:space="0" w:color="auto" w:frame="1"/>
          <w:lang w:val="ru-RU" w:eastAsia="bg-BG"/>
        </w:rPr>
      </w:pPr>
    </w:p>
    <w:p w14:paraId="707DE8A5" w14:textId="77777777" w:rsidR="00A23067" w:rsidRPr="00252B6B" w:rsidRDefault="006652DB" w:rsidP="001627CA">
      <w:pPr>
        <w:spacing w:after="0" w:line="240" w:lineRule="auto"/>
        <w:jc w:val="center"/>
        <w:rPr>
          <w:rFonts w:ascii="Times New Roman" w:eastAsia="Times New Roman" w:hAnsi="Times New Roman"/>
          <w:b/>
          <w:bCs/>
          <w:sz w:val="24"/>
          <w:szCs w:val="24"/>
          <w:bdr w:val="none" w:sz="0" w:space="0" w:color="auto" w:frame="1"/>
          <w:lang w:eastAsia="bg-BG"/>
        </w:rPr>
      </w:pPr>
      <w:r>
        <w:rPr>
          <w:rFonts w:ascii="Times New Roman" w:eastAsia="Times New Roman" w:hAnsi="Times New Roman"/>
          <w:b/>
          <w:bCs/>
          <w:sz w:val="24"/>
          <w:szCs w:val="24"/>
          <w:bdr w:val="none" w:sz="0" w:space="0" w:color="auto" w:frame="1"/>
          <w:lang w:eastAsia="bg-BG"/>
        </w:rPr>
        <w:t>София,</w:t>
      </w:r>
      <w:r w:rsidR="009D63EB" w:rsidRPr="00252B6B">
        <w:rPr>
          <w:rFonts w:ascii="Times New Roman" w:eastAsia="Times New Roman" w:hAnsi="Times New Roman"/>
          <w:b/>
          <w:bCs/>
          <w:sz w:val="24"/>
          <w:szCs w:val="24"/>
          <w:bdr w:val="none" w:sz="0" w:space="0" w:color="auto" w:frame="1"/>
          <w:lang w:eastAsia="bg-BG"/>
        </w:rPr>
        <w:t xml:space="preserve"> </w:t>
      </w:r>
      <w:r w:rsidR="00036303" w:rsidRPr="00252B6B">
        <w:rPr>
          <w:rFonts w:ascii="Times New Roman" w:eastAsia="Times New Roman" w:hAnsi="Times New Roman"/>
          <w:b/>
          <w:bCs/>
          <w:sz w:val="24"/>
          <w:szCs w:val="24"/>
          <w:bdr w:val="none" w:sz="0" w:space="0" w:color="auto" w:frame="1"/>
          <w:lang w:eastAsia="bg-BG"/>
        </w:rPr>
        <w:t>202</w:t>
      </w:r>
      <w:r w:rsidR="00036303">
        <w:rPr>
          <w:rFonts w:ascii="Times New Roman" w:eastAsia="Times New Roman" w:hAnsi="Times New Roman"/>
          <w:b/>
          <w:bCs/>
          <w:sz w:val="24"/>
          <w:szCs w:val="24"/>
          <w:bdr w:val="none" w:sz="0" w:space="0" w:color="auto" w:frame="1"/>
          <w:lang w:eastAsia="bg-BG"/>
        </w:rPr>
        <w:t>4</w:t>
      </w:r>
      <w:r w:rsidR="00036303" w:rsidRPr="00252B6B">
        <w:rPr>
          <w:rFonts w:ascii="Times New Roman" w:eastAsia="Times New Roman" w:hAnsi="Times New Roman"/>
          <w:b/>
          <w:bCs/>
          <w:sz w:val="24"/>
          <w:szCs w:val="24"/>
          <w:bdr w:val="none" w:sz="0" w:space="0" w:color="auto" w:frame="1"/>
          <w:lang w:eastAsia="bg-BG"/>
        </w:rPr>
        <w:t>г</w:t>
      </w:r>
      <w:r w:rsidR="00D4752F" w:rsidRPr="00252B6B">
        <w:rPr>
          <w:rFonts w:ascii="Times New Roman" w:eastAsia="Times New Roman" w:hAnsi="Times New Roman"/>
          <w:b/>
          <w:bCs/>
          <w:sz w:val="24"/>
          <w:szCs w:val="24"/>
          <w:bdr w:val="none" w:sz="0" w:space="0" w:color="auto" w:frame="1"/>
          <w:lang w:eastAsia="bg-BG"/>
        </w:rPr>
        <w:t>.</w:t>
      </w:r>
    </w:p>
    <w:p w14:paraId="2952F76E" w14:textId="77777777" w:rsidR="00A23067" w:rsidRPr="00252B6B" w:rsidRDefault="00A23067" w:rsidP="00B945B6">
      <w:pPr>
        <w:spacing w:after="0" w:line="240" w:lineRule="auto"/>
        <w:rPr>
          <w:rFonts w:ascii="Times New Roman" w:eastAsia="Times New Roman" w:hAnsi="Times New Roman"/>
          <w:b/>
          <w:bCs/>
          <w:sz w:val="24"/>
          <w:szCs w:val="24"/>
          <w:bdr w:val="none" w:sz="0" w:space="0" w:color="auto" w:frame="1"/>
          <w:lang w:val="en-US" w:eastAsia="bg-BG"/>
        </w:rPr>
      </w:pPr>
    </w:p>
    <w:p w14:paraId="6EEB099B" w14:textId="77777777" w:rsidR="00A23067" w:rsidRPr="00252B6B" w:rsidRDefault="00A23067" w:rsidP="00B945B6">
      <w:pPr>
        <w:spacing w:after="0" w:line="240" w:lineRule="auto"/>
        <w:rPr>
          <w:rFonts w:ascii="Times New Roman" w:eastAsia="Times New Roman" w:hAnsi="Times New Roman"/>
          <w:b/>
          <w:bCs/>
          <w:sz w:val="24"/>
          <w:szCs w:val="24"/>
          <w:bdr w:val="none" w:sz="0" w:space="0" w:color="auto" w:frame="1"/>
          <w:lang w:val="en-US" w:eastAsia="bg-BG"/>
        </w:rPr>
      </w:pPr>
    </w:p>
    <w:p w14:paraId="49DC668F" w14:textId="77777777" w:rsidR="00260FC9" w:rsidRPr="00252B6B" w:rsidRDefault="00260FC9">
      <w:pPr>
        <w:rPr>
          <w:rFonts w:ascii="Times New Roman" w:eastAsia="Times New Roman" w:hAnsi="Times New Roman"/>
          <w:b/>
          <w:bCs/>
          <w:sz w:val="24"/>
          <w:szCs w:val="24"/>
          <w:bdr w:val="none" w:sz="0" w:space="0" w:color="auto" w:frame="1"/>
          <w:lang w:val="en-US" w:eastAsia="bg-BG"/>
        </w:rPr>
      </w:pPr>
      <w:r w:rsidRPr="00252B6B">
        <w:rPr>
          <w:rFonts w:ascii="Times New Roman" w:eastAsia="Times New Roman" w:hAnsi="Times New Roman"/>
          <w:b/>
          <w:bCs/>
          <w:sz w:val="24"/>
          <w:szCs w:val="24"/>
          <w:bdr w:val="none" w:sz="0" w:space="0" w:color="auto" w:frame="1"/>
          <w:lang w:val="en-US" w:eastAsia="bg-BG"/>
        </w:rPr>
        <w:br w:type="page"/>
      </w:r>
    </w:p>
    <w:p w14:paraId="2757617B" w14:textId="77777777" w:rsidR="00E86B38" w:rsidRPr="00AB31D3" w:rsidRDefault="00E86B38" w:rsidP="00B945B6">
      <w:pPr>
        <w:spacing w:after="0" w:line="240" w:lineRule="auto"/>
        <w:rPr>
          <w:rFonts w:ascii="Times New Roman" w:eastAsia="Times New Roman" w:hAnsi="Times New Roman"/>
          <w:b/>
          <w:bCs/>
          <w:sz w:val="24"/>
          <w:szCs w:val="24"/>
          <w:bdr w:val="none" w:sz="0" w:space="0" w:color="auto" w:frame="1"/>
          <w:lang w:val="en-US" w:eastAsia="bg-BG"/>
        </w:rPr>
      </w:pPr>
    </w:p>
    <w:tbl>
      <w:tblPr>
        <w:tblW w:w="9923" w:type="dxa"/>
        <w:tblLook w:val="04A0" w:firstRow="1" w:lastRow="0" w:firstColumn="1" w:lastColumn="0" w:noHBand="0" w:noVBand="1"/>
      </w:tblPr>
      <w:tblGrid>
        <w:gridCol w:w="9923"/>
      </w:tblGrid>
      <w:tr w:rsidR="00154A9B" w:rsidRPr="00AB31D3" w14:paraId="3CF8E58C" w14:textId="77777777" w:rsidTr="00154A9B">
        <w:tc>
          <w:tcPr>
            <w:tcW w:w="9923" w:type="dxa"/>
            <w:shd w:val="clear" w:color="auto" w:fill="auto"/>
          </w:tcPr>
          <w:sdt>
            <w:sdtPr>
              <w:rPr>
                <w:rFonts w:ascii="Calibri" w:eastAsia="Calibri" w:hAnsi="Calibri"/>
                <w:color w:val="auto"/>
                <w:sz w:val="22"/>
                <w:szCs w:val="22"/>
                <w:lang w:eastAsia="en-US"/>
              </w:rPr>
              <w:id w:val="-1047907672"/>
              <w:docPartObj>
                <w:docPartGallery w:val="Table of Contents"/>
                <w:docPartUnique/>
              </w:docPartObj>
            </w:sdtPr>
            <w:sdtEndPr>
              <w:rPr>
                <w:b/>
                <w:bCs/>
                <w:noProof/>
              </w:rPr>
            </w:sdtEndPr>
            <w:sdtContent>
              <w:p w14:paraId="06F68D66" w14:textId="69CC323B" w:rsidR="00154A9B" w:rsidRPr="00B366F0" w:rsidRDefault="00154A9B">
                <w:pPr>
                  <w:pStyle w:val="TOCHeading"/>
                  <w:rPr>
                    <w:rFonts w:ascii="Times New Roman" w:hAnsi="Times New Roman"/>
                    <w:color w:val="auto"/>
                  </w:rPr>
                </w:pPr>
                <w:r w:rsidRPr="00B366F0">
                  <w:rPr>
                    <w:rFonts w:ascii="Times New Roman" w:hAnsi="Times New Roman"/>
                    <w:color w:val="auto"/>
                  </w:rPr>
                  <w:t>С</w:t>
                </w:r>
                <w:r w:rsidR="00D73289" w:rsidRPr="00B366F0">
                  <w:rPr>
                    <w:rFonts w:ascii="Times New Roman" w:hAnsi="Times New Roman"/>
                    <w:color w:val="auto"/>
                  </w:rPr>
                  <w:t>ЪДЪРЖАНИЕ</w:t>
                </w:r>
              </w:p>
              <w:p w14:paraId="07A0F28F" w14:textId="77777777" w:rsidR="00154A9B" w:rsidRPr="00154A9B" w:rsidRDefault="00154A9B" w:rsidP="00154A9B">
                <w:pPr>
                  <w:rPr>
                    <w:lang w:eastAsia="bg-BG"/>
                  </w:rPr>
                </w:pPr>
              </w:p>
              <w:p w14:paraId="75624404" w14:textId="57291C69" w:rsidR="00154A9B" w:rsidRDefault="00154A9B">
                <w:pPr>
                  <w:pStyle w:val="TOC1"/>
                  <w:tabs>
                    <w:tab w:val="right" w:leader="dot" w:pos="9062"/>
                  </w:tabs>
                  <w:rPr>
                    <w:rFonts w:asciiTheme="minorHAnsi" w:eastAsiaTheme="minorEastAsia" w:hAnsiTheme="minorHAnsi" w:cstheme="minorBidi"/>
                    <w:noProof/>
                    <w:lang w:eastAsia="bg-BG"/>
                  </w:rPr>
                </w:pPr>
                <w:r>
                  <w:rPr>
                    <w:b/>
                    <w:bCs/>
                    <w:noProof/>
                  </w:rPr>
                  <w:fldChar w:fldCharType="begin"/>
                </w:r>
                <w:r>
                  <w:rPr>
                    <w:b/>
                    <w:bCs/>
                    <w:noProof/>
                  </w:rPr>
                  <w:instrText xml:space="preserve"> TOC \o "1-3" \h \z \u </w:instrText>
                </w:r>
                <w:r>
                  <w:rPr>
                    <w:b/>
                    <w:bCs/>
                    <w:noProof/>
                  </w:rPr>
                  <w:fldChar w:fldCharType="separate"/>
                </w:r>
                <w:hyperlink w:anchor="_Toc175822507" w:history="1">
                  <w:r w:rsidRPr="00933459">
                    <w:rPr>
                      <w:rStyle w:val="Hyperlink"/>
                      <w:rFonts w:ascii="Times New Roman" w:hAnsi="Times New Roman"/>
                      <w:noProof/>
                      <w:bdr w:val="none" w:sz="0" w:space="0" w:color="auto" w:frame="1"/>
                      <w:lang w:eastAsia="bg-BG"/>
                    </w:rPr>
                    <w:t>ВЪВЕДЕНИЕ</w:t>
                  </w:r>
                  <w:r>
                    <w:rPr>
                      <w:noProof/>
                      <w:webHidden/>
                    </w:rPr>
                    <w:tab/>
                  </w:r>
                  <w:r>
                    <w:rPr>
                      <w:noProof/>
                      <w:webHidden/>
                    </w:rPr>
                    <w:fldChar w:fldCharType="begin"/>
                  </w:r>
                  <w:r>
                    <w:rPr>
                      <w:noProof/>
                      <w:webHidden/>
                    </w:rPr>
                    <w:instrText xml:space="preserve"> PAGEREF _Toc175822507 \h </w:instrText>
                  </w:r>
                  <w:r>
                    <w:rPr>
                      <w:noProof/>
                      <w:webHidden/>
                    </w:rPr>
                  </w:r>
                  <w:r>
                    <w:rPr>
                      <w:noProof/>
                      <w:webHidden/>
                    </w:rPr>
                    <w:fldChar w:fldCharType="separate"/>
                  </w:r>
                  <w:r w:rsidR="00DE7929">
                    <w:rPr>
                      <w:noProof/>
                      <w:webHidden/>
                    </w:rPr>
                    <w:t>3</w:t>
                  </w:r>
                  <w:r>
                    <w:rPr>
                      <w:noProof/>
                      <w:webHidden/>
                    </w:rPr>
                    <w:fldChar w:fldCharType="end"/>
                  </w:r>
                </w:hyperlink>
              </w:p>
              <w:p w14:paraId="55D84364" w14:textId="377421E5" w:rsidR="00154A9B" w:rsidRDefault="00FF7BE4">
                <w:pPr>
                  <w:pStyle w:val="TOC1"/>
                  <w:tabs>
                    <w:tab w:val="right" w:leader="dot" w:pos="9062"/>
                  </w:tabs>
                  <w:rPr>
                    <w:rFonts w:asciiTheme="minorHAnsi" w:eastAsiaTheme="minorEastAsia" w:hAnsiTheme="minorHAnsi" w:cstheme="minorBidi"/>
                    <w:noProof/>
                    <w:lang w:eastAsia="bg-BG"/>
                  </w:rPr>
                </w:pPr>
                <w:hyperlink w:anchor="_Toc175822508" w:history="1">
                  <w:r w:rsidR="00154A9B" w:rsidRPr="00933459">
                    <w:rPr>
                      <w:rStyle w:val="Hyperlink"/>
                      <w:rFonts w:ascii="Times New Roman" w:hAnsi="Times New Roman"/>
                      <w:noProof/>
                      <w:bdr w:val="none" w:sz="0" w:space="0" w:color="auto" w:frame="1"/>
                      <w:lang w:eastAsia="bg-BG"/>
                    </w:rPr>
                    <w:t>ОСНОВАНИЕ ЗА РАЗРАБОТВАНЕ НА ОТЧЕТА</w:t>
                  </w:r>
                  <w:r w:rsidR="00154A9B">
                    <w:rPr>
                      <w:noProof/>
                      <w:webHidden/>
                    </w:rPr>
                    <w:tab/>
                  </w:r>
                  <w:r w:rsidR="00154A9B">
                    <w:rPr>
                      <w:noProof/>
                      <w:webHidden/>
                    </w:rPr>
                    <w:fldChar w:fldCharType="begin"/>
                  </w:r>
                  <w:r w:rsidR="00154A9B">
                    <w:rPr>
                      <w:noProof/>
                      <w:webHidden/>
                    </w:rPr>
                    <w:instrText xml:space="preserve"> PAGEREF _Toc175822508 \h </w:instrText>
                  </w:r>
                  <w:r w:rsidR="00154A9B">
                    <w:rPr>
                      <w:noProof/>
                      <w:webHidden/>
                    </w:rPr>
                  </w:r>
                  <w:r w:rsidR="00154A9B">
                    <w:rPr>
                      <w:noProof/>
                      <w:webHidden/>
                    </w:rPr>
                    <w:fldChar w:fldCharType="separate"/>
                  </w:r>
                  <w:r w:rsidR="00DE7929">
                    <w:rPr>
                      <w:noProof/>
                      <w:webHidden/>
                    </w:rPr>
                    <w:t>3</w:t>
                  </w:r>
                  <w:r w:rsidR="00154A9B">
                    <w:rPr>
                      <w:noProof/>
                      <w:webHidden/>
                    </w:rPr>
                    <w:fldChar w:fldCharType="end"/>
                  </w:r>
                </w:hyperlink>
              </w:p>
              <w:p w14:paraId="649E2992" w14:textId="4BF720F5" w:rsidR="00154A9B" w:rsidRDefault="00FF7BE4">
                <w:pPr>
                  <w:pStyle w:val="TOC1"/>
                  <w:tabs>
                    <w:tab w:val="right" w:leader="dot" w:pos="9062"/>
                  </w:tabs>
                  <w:rPr>
                    <w:rFonts w:asciiTheme="minorHAnsi" w:eastAsiaTheme="minorEastAsia" w:hAnsiTheme="minorHAnsi" w:cstheme="minorBidi"/>
                    <w:noProof/>
                    <w:lang w:eastAsia="bg-BG"/>
                  </w:rPr>
                </w:pPr>
                <w:hyperlink w:anchor="_Toc175822509" w:history="1">
                  <w:r w:rsidR="00154A9B" w:rsidRPr="00933459">
                    <w:rPr>
                      <w:rStyle w:val="Hyperlink"/>
                      <w:rFonts w:ascii="Times New Roman" w:hAnsi="Times New Roman"/>
                      <w:noProof/>
                      <w:bdr w:val="none" w:sz="0" w:space="0" w:color="auto" w:frame="1"/>
                      <w:lang w:eastAsia="bg-BG"/>
                    </w:rPr>
                    <w:t>ОТЧЕТ НА ИЗПЪЛНЕНИЕ НА МЕРКИТЕ</w:t>
                  </w:r>
                  <w:r w:rsidR="00154A9B">
                    <w:rPr>
                      <w:noProof/>
                      <w:webHidden/>
                    </w:rPr>
                    <w:tab/>
                  </w:r>
                  <w:r w:rsidR="00154A9B">
                    <w:rPr>
                      <w:noProof/>
                      <w:webHidden/>
                    </w:rPr>
                    <w:fldChar w:fldCharType="begin"/>
                  </w:r>
                  <w:r w:rsidR="00154A9B">
                    <w:rPr>
                      <w:noProof/>
                      <w:webHidden/>
                    </w:rPr>
                    <w:instrText xml:space="preserve"> PAGEREF _Toc175822509 \h </w:instrText>
                  </w:r>
                  <w:r w:rsidR="00154A9B">
                    <w:rPr>
                      <w:noProof/>
                      <w:webHidden/>
                    </w:rPr>
                  </w:r>
                  <w:r w:rsidR="00154A9B">
                    <w:rPr>
                      <w:noProof/>
                      <w:webHidden/>
                    </w:rPr>
                    <w:fldChar w:fldCharType="separate"/>
                  </w:r>
                  <w:r w:rsidR="00DE7929">
                    <w:rPr>
                      <w:noProof/>
                      <w:webHidden/>
                    </w:rPr>
                    <w:t>3</w:t>
                  </w:r>
                  <w:r w:rsidR="00154A9B">
                    <w:rPr>
                      <w:noProof/>
                      <w:webHidden/>
                    </w:rPr>
                    <w:fldChar w:fldCharType="end"/>
                  </w:r>
                </w:hyperlink>
              </w:p>
              <w:p w14:paraId="22ADA281" w14:textId="01D57DEC" w:rsidR="00154A9B" w:rsidRDefault="00FF7BE4">
                <w:pPr>
                  <w:pStyle w:val="TOC2"/>
                  <w:tabs>
                    <w:tab w:val="left" w:pos="660"/>
                    <w:tab w:val="right" w:leader="dot" w:pos="9062"/>
                  </w:tabs>
                  <w:rPr>
                    <w:rFonts w:asciiTheme="minorHAnsi" w:eastAsiaTheme="minorEastAsia" w:hAnsiTheme="minorHAnsi" w:cstheme="minorBidi"/>
                    <w:noProof/>
                    <w:lang w:eastAsia="bg-BG"/>
                  </w:rPr>
                </w:pPr>
                <w:hyperlink w:anchor="_Toc175822510" w:history="1">
                  <w:r w:rsidR="00154A9B" w:rsidRPr="00933459">
                    <w:rPr>
                      <w:rStyle w:val="Hyperlink"/>
                      <w:rFonts w:ascii="Times New Roman" w:hAnsi="Times New Roman"/>
                      <w:noProof/>
                      <w:bdr w:val="none" w:sz="0" w:space="0" w:color="auto" w:frame="1"/>
                      <w:lang w:eastAsia="bg-BG"/>
                    </w:rPr>
                    <w:t>1.</w:t>
                  </w:r>
                  <w:r w:rsidR="00154A9B">
                    <w:rPr>
                      <w:rFonts w:asciiTheme="minorHAnsi" w:eastAsiaTheme="minorEastAsia" w:hAnsiTheme="minorHAnsi" w:cstheme="minorBidi"/>
                      <w:noProof/>
                      <w:lang w:eastAsia="bg-BG"/>
                    </w:rPr>
                    <w:tab/>
                  </w:r>
                  <w:r w:rsidR="00154A9B" w:rsidRPr="00933459">
                    <w:rPr>
                      <w:rStyle w:val="Hyperlink"/>
                      <w:rFonts w:ascii="Times New Roman" w:hAnsi="Times New Roman"/>
                      <w:noProof/>
                      <w:bdr w:val="none" w:sz="0" w:space="0" w:color="auto" w:frame="1"/>
                      <w:lang w:eastAsia="bg-BG"/>
                    </w:rPr>
                    <w:t>МЕРКИ В СЕКТОР БИТОВО ОТОПЛЕНИЕ</w:t>
                  </w:r>
                  <w:r w:rsidR="00154A9B">
                    <w:rPr>
                      <w:noProof/>
                      <w:webHidden/>
                    </w:rPr>
                    <w:tab/>
                  </w:r>
                  <w:r w:rsidR="00154A9B">
                    <w:rPr>
                      <w:noProof/>
                      <w:webHidden/>
                    </w:rPr>
                    <w:fldChar w:fldCharType="begin"/>
                  </w:r>
                  <w:r w:rsidR="00154A9B">
                    <w:rPr>
                      <w:noProof/>
                      <w:webHidden/>
                    </w:rPr>
                    <w:instrText xml:space="preserve"> PAGEREF _Toc175822510 \h </w:instrText>
                  </w:r>
                  <w:r w:rsidR="00154A9B">
                    <w:rPr>
                      <w:noProof/>
                      <w:webHidden/>
                    </w:rPr>
                  </w:r>
                  <w:r w:rsidR="00154A9B">
                    <w:rPr>
                      <w:noProof/>
                      <w:webHidden/>
                    </w:rPr>
                    <w:fldChar w:fldCharType="separate"/>
                  </w:r>
                  <w:r w:rsidR="00DE7929">
                    <w:rPr>
                      <w:noProof/>
                      <w:webHidden/>
                    </w:rPr>
                    <w:t>3</w:t>
                  </w:r>
                  <w:r w:rsidR="00154A9B">
                    <w:rPr>
                      <w:noProof/>
                      <w:webHidden/>
                    </w:rPr>
                    <w:fldChar w:fldCharType="end"/>
                  </w:r>
                </w:hyperlink>
              </w:p>
              <w:p w14:paraId="7A3FE7E1" w14:textId="476DBE8F" w:rsidR="00154A9B" w:rsidRDefault="00FF7BE4">
                <w:pPr>
                  <w:pStyle w:val="TOC2"/>
                  <w:tabs>
                    <w:tab w:val="left" w:pos="660"/>
                    <w:tab w:val="right" w:leader="dot" w:pos="9062"/>
                  </w:tabs>
                  <w:rPr>
                    <w:rFonts w:asciiTheme="minorHAnsi" w:eastAsiaTheme="minorEastAsia" w:hAnsiTheme="minorHAnsi" w:cstheme="minorBidi"/>
                    <w:noProof/>
                    <w:lang w:eastAsia="bg-BG"/>
                  </w:rPr>
                </w:pPr>
                <w:hyperlink w:anchor="_Toc175822511" w:history="1">
                  <w:r w:rsidR="00154A9B" w:rsidRPr="00933459">
                    <w:rPr>
                      <w:rStyle w:val="Hyperlink"/>
                      <w:rFonts w:ascii="Times New Roman" w:hAnsi="Times New Roman"/>
                      <w:noProof/>
                      <w:bdr w:val="none" w:sz="0" w:space="0" w:color="auto" w:frame="1"/>
                      <w:lang w:val="ru-RU" w:eastAsia="bg-BG"/>
                    </w:rPr>
                    <w:t>2.</w:t>
                  </w:r>
                  <w:r w:rsidR="00154A9B">
                    <w:rPr>
                      <w:rFonts w:asciiTheme="minorHAnsi" w:eastAsiaTheme="minorEastAsia" w:hAnsiTheme="minorHAnsi" w:cstheme="minorBidi"/>
                      <w:noProof/>
                      <w:lang w:eastAsia="bg-BG"/>
                    </w:rPr>
                    <w:tab/>
                  </w:r>
                  <w:r w:rsidR="00154A9B" w:rsidRPr="00933459">
                    <w:rPr>
                      <w:rStyle w:val="Hyperlink"/>
                      <w:rFonts w:ascii="Times New Roman" w:hAnsi="Times New Roman"/>
                      <w:noProof/>
                      <w:bdr w:val="none" w:sz="0" w:space="0" w:color="auto" w:frame="1"/>
                      <w:lang w:val="ru-RU" w:eastAsia="bg-BG"/>
                    </w:rPr>
                    <w:t xml:space="preserve">МЕРКИ В </w:t>
                  </w:r>
                  <w:r w:rsidR="00154A9B" w:rsidRPr="00933459">
                    <w:rPr>
                      <w:rStyle w:val="Hyperlink"/>
                      <w:rFonts w:ascii="Times New Roman" w:hAnsi="Times New Roman"/>
                      <w:noProof/>
                      <w:bdr w:val="none" w:sz="0" w:space="0" w:color="auto" w:frame="1"/>
                      <w:lang w:eastAsia="bg-BG"/>
                    </w:rPr>
                    <w:t>СЕКТОР ТРАНСПОРТ</w:t>
                  </w:r>
                  <w:r w:rsidR="00154A9B">
                    <w:rPr>
                      <w:noProof/>
                      <w:webHidden/>
                    </w:rPr>
                    <w:tab/>
                  </w:r>
                  <w:r w:rsidR="00154A9B">
                    <w:rPr>
                      <w:noProof/>
                      <w:webHidden/>
                    </w:rPr>
                    <w:fldChar w:fldCharType="begin"/>
                  </w:r>
                  <w:r w:rsidR="00154A9B">
                    <w:rPr>
                      <w:noProof/>
                      <w:webHidden/>
                    </w:rPr>
                    <w:instrText xml:space="preserve"> PAGEREF _Toc175822511 \h </w:instrText>
                  </w:r>
                  <w:r w:rsidR="00154A9B">
                    <w:rPr>
                      <w:noProof/>
                      <w:webHidden/>
                    </w:rPr>
                  </w:r>
                  <w:r w:rsidR="00154A9B">
                    <w:rPr>
                      <w:noProof/>
                      <w:webHidden/>
                    </w:rPr>
                    <w:fldChar w:fldCharType="separate"/>
                  </w:r>
                  <w:r w:rsidR="00DE7929">
                    <w:rPr>
                      <w:noProof/>
                      <w:webHidden/>
                    </w:rPr>
                    <w:t>10</w:t>
                  </w:r>
                  <w:r w:rsidR="00154A9B">
                    <w:rPr>
                      <w:noProof/>
                      <w:webHidden/>
                    </w:rPr>
                    <w:fldChar w:fldCharType="end"/>
                  </w:r>
                </w:hyperlink>
              </w:p>
              <w:p w14:paraId="00AFABB6" w14:textId="41A43B7A" w:rsidR="00154A9B" w:rsidRDefault="00FF7BE4">
                <w:pPr>
                  <w:pStyle w:val="TOC2"/>
                  <w:tabs>
                    <w:tab w:val="left" w:pos="660"/>
                    <w:tab w:val="right" w:leader="dot" w:pos="9062"/>
                  </w:tabs>
                  <w:rPr>
                    <w:rFonts w:asciiTheme="minorHAnsi" w:eastAsiaTheme="minorEastAsia" w:hAnsiTheme="minorHAnsi" w:cstheme="minorBidi"/>
                    <w:noProof/>
                    <w:lang w:eastAsia="bg-BG"/>
                  </w:rPr>
                </w:pPr>
                <w:hyperlink w:anchor="_Toc175822512" w:history="1">
                  <w:r w:rsidR="00154A9B" w:rsidRPr="00933459">
                    <w:rPr>
                      <w:rStyle w:val="Hyperlink"/>
                      <w:rFonts w:ascii="Times New Roman" w:hAnsi="Times New Roman"/>
                      <w:noProof/>
                      <w:bdr w:val="none" w:sz="0" w:space="0" w:color="auto" w:frame="1"/>
                      <w:lang w:eastAsia="bg-BG"/>
                    </w:rPr>
                    <w:t>3.</w:t>
                  </w:r>
                  <w:r w:rsidR="00154A9B">
                    <w:rPr>
                      <w:rFonts w:asciiTheme="minorHAnsi" w:eastAsiaTheme="minorEastAsia" w:hAnsiTheme="minorHAnsi" w:cstheme="minorBidi"/>
                      <w:noProof/>
                      <w:lang w:eastAsia="bg-BG"/>
                    </w:rPr>
                    <w:tab/>
                  </w:r>
                  <w:r w:rsidR="00154A9B" w:rsidRPr="00933459">
                    <w:rPr>
                      <w:rStyle w:val="Hyperlink"/>
                      <w:rFonts w:ascii="Times New Roman" w:hAnsi="Times New Roman"/>
                      <w:noProof/>
                      <w:bdr w:val="none" w:sz="0" w:space="0" w:color="auto" w:frame="1"/>
                      <w:lang w:eastAsia="bg-BG"/>
                    </w:rPr>
                    <w:t>ХОРИЗОНТАЛНИ И ИНСТИТУЦИОНАЛНИ МЕРКИ</w:t>
                  </w:r>
                  <w:r w:rsidR="00154A9B">
                    <w:rPr>
                      <w:noProof/>
                      <w:webHidden/>
                    </w:rPr>
                    <w:tab/>
                  </w:r>
                  <w:r w:rsidR="00154A9B">
                    <w:rPr>
                      <w:noProof/>
                      <w:webHidden/>
                    </w:rPr>
                    <w:fldChar w:fldCharType="begin"/>
                  </w:r>
                  <w:r w:rsidR="00154A9B">
                    <w:rPr>
                      <w:noProof/>
                      <w:webHidden/>
                    </w:rPr>
                    <w:instrText xml:space="preserve"> PAGEREF _Toc175822512 \h </w:instrText>
                  </w:r>
                  <w:r w:rsidR="00154A9B">
                    <w:rPr>
                      <w:noProof/>
                      <w:webHidden/>
                    </w:rPr>
                  </w:r>
                  <w:r w:rsidR="00154A9B">
                    <w:rPr>
                      <w:noProof/>
                      <w:webHidden/>
                    </w:rPr>
                    <w:fldChar w:fldCharType="separate"/>
                  </w:r>
                  <w:r w:rsidR="00DE7929">
                    <w:rPr>
                      <w:noProof/>
                      <w:webHidden/>
                    </w:rPr>
                    <w:t>14</w:t>
                  </w:r>
                  <w:r w:rsidR="00154A9B">
                    <w:rPr>
                      <w:noProof/>
                      <w:webHidden/>
                    </w:rPr>
                    <w:fldChar w:fldCharType="end"/>
                  </w:r>
                </w:hyperlink>
              </w:p>
              <w:p w14:paraId="6E5B1A17" w14:textId="31C50B07" w:rsidR="00154A9B" w:rsidRDefault="00FF7BE4">
                <w:pPr>
                  <w:pStyle w:val="TOC2"/>
                  <w:tabs>
                    <w:tab w:val="left" w:pos="660"/>
                    <w:tab w:val="right" w:leader="dot" w:pos="9062"/>
                  </w:tabs>
                  <w:rPr>
                    <w:rFonts w:asciiTheme="minorHAnsi" w:eastAsiaTheme="minorEastAsia" w:hAnsiTheme="minorHAnsi" w:cstheme="minorBidi"/>
                    <w:noProof/>
                    <w:lang w:eastAsia="bg-BG"/>
                  </w:rPr>
                </w:pPr>
                <w:hyperlink w:anchor="_Toc175822513" w:history="1">
                  <w:r w:rsidR="00154A9B" w:rsidRPr="00933459">
                    <w:rPr>
                      <w:rStyle w:val="Hyperlink"/>
                      <w:rFonts w:ascii="Times New Roman" w:hAnsi="Times New Roman"/>
                      <w:noProof/>
                      <w:bdr w:val="none" w:sz="0" w:space="0" w:color="auto" w:frame="1"/>
                      <w:lang w:eastAsia="bg-BG"/>
                    </w:rPr>
                    <w:t>4.</w:t>
                  </w:r>
                  <w:r w:rsidR="00154A9B">
                    <w:rPr>
                      <w:rFonts w:asciiTheme="minorHAnsi" w:eastAsiaTheme="minorEastAsia" w:hAnsiTheme="minorHAnsi" w:cstheme="minorBidi"/>
                      <w:noProof/>
                      <w:lang w:eastAsia="bg-BG"/>
                    </w:rPr>
                    <w:tab/>
                  </w:r>
                  <w:r w:rsidR="00154A9B" w:rsidRPr="00933459">
                    <w:rPr>
                      <w:rStyle w:val="Hyperlink"/>
                      <w:rFonts w:ascii="Times New Roman" w:hAnsi="Times New Roman"/>
                      <w:noProof/>
                      <w:bdr w:val="none" w:sz="0" w:space="0" w:color="auto" w:frame="1"/>
                      <w:lang w:eastAsia="bg-BG"/>
                    </w:rPr>
                    <w:t>НАПРЕДЪК ПО ИЗПЪЛНЕНИЕТО НА ЦЕЛИТЕ НА ЕВРОПЕЙСКОТО И НА НАЦИОНАЛНОТО ЗАКОНОДАТЕЛСТВО ЗА НАМАЛЯВАНЕ НА ЕМИСИИТЕ ОТ ФИНИ ПРАХОВИ ЧАСТИЦИ</w:t>
                  </w:r>
                  <w:r w:rsidR="00154A9B">
                    <w:rPr>
                      <w:noProof/>
                      <w:webHidden/>
                    </w:rPr>
                    <w:tab/>
                  </w:r>
                  <w:r w:rsidR="00154A9B">
                    <w:rPr>
                      <w:noProof/>
                      <w:webHidden/>
                    </w:rPr>
                    <w:fldChar w:fldCharType="begin"/>
                  </w:r>
                  <w:r w:rsidR="00154A9B">
                    <w:rPr>
                      <w:noProof/>
                      <w:webHidden/>
                    </w:rPr>
                    <w:instrText xml:space="preserve"> PAGEREF _Toc175822513 \h </w:instrText>
                  </w:r>
                  <w:r w:rsidR="00154A9B">
                    <w:rPr>
                      <w:noProof/>
                      <w:webHidden/>
                    </w:rPr>
                  </w:r>
                  <w:r w:rsidR="00154A9B">
                    <w:rPr>
                      <w:noProof/>
                      <w:webHidden/>
                    </w:rPr>
                    <w:fldChar w:fldCharType="separate"/>
                  </w:r>
                  <w:r w:rsidR="00DE7929">
                    <w:rPr>
                      <w:noProof/>
                      <w:webHidden/>
                    </w:rPr>
                    <w:t>16</w:t>
                  </w:r>
                  <w:r w:rsidR="00154A9B">
                    <w:rPr>
                      <w:noProof/>
                      <w:webHidden/>
                    </w:rPr>
                    <w:fldChar w:fldCharType="end"/>
                  </w:r>
                </w:hyperlink>
              </w:p>
              <w:p w14:paraId="3804CE4E" w14:textId="21059387" w:rsidR="00154A9B" w:rsidRDefault="00FF7BE4">
                <w:pPr>
                  <w:pStyle w:val="TOC2"/>
                  <w:tabs>
                    <w:tab w:val="left" w:pos="660"/>
                    <w:tab w:val="right" w:leader="dot" w:pos="9062"/>
                  </w:tabs>
                  <w:rPr>
                    <w:rFonts w:asciiTheme="minorHAnsi" w:eastAsiaTheme="minorEastAsia" w:hAnsiTheme="minorHAnsi" w:cstheme="minorBidi"/>
                    <w:noProof/>
                    <w:lang w:eastAsia="bg-BG"/>
                  </w:rPr>
                </w:pPr>
                <w:hyperlink w:anchor="_Toc175822514" w:history="1">
                  <w:r w:rsidR="00154A9B" w:rsidRPr="00933459">
                    <w:rPr>
                      <w:rStyle w:val="Hyperlink"/>
                      <w:rFonts w:ascii="Times New Roman" w:hAnsi="Times New Roman"/>
                      <w:noProof/>
                      <w:bdr w:val="none" w:sz="0" w:space="0" w:color="auto" w:frame="1"/>
                      <w:lang w:eastAsia="bg-BG"/>
                    </w:rPr>
                    <w:t>5.</w:t>
                  </w:r>
                  <w:r w:rsidR="00154A9B">
                    <w:rPr>
                      <w:rFonts w:asciiTheme="minorHAnsi" w:eastAsiaTheme="minorEastAsia" w:hAnsiTheme="minorHAnsi" w:cstheme="minorBidi"/>
                      <w:noProof/>
                      <w:lang w:eastAsia="bg-BG"/>
                    </w:rPr>
                    <w:tab/>
                  </w:r>
                  <w:r w:rsidR="00154A9B" w:rsidRPr="00933459">
                    <w:rPr>
                      <w:rStyle w:val="Hyperlink"/>
                      <w:rFonts w:ascii="Times New Roman" w:hAnsi="Times New Roman"/>
                      <w:noProof/>
                      <w:bdr w:val="none" w:sz="0" w:space="0" w:color="auto" w:frame="1"/>
                      <w:lang w:eastAsia="bg-BG"/>
                    </w:rPr>
                    <w:t>ИЗВОДИ И ПРЕПОРЪКИ</w:t>
                  </w:r>
                  <w:r w:rsidR="00154A9B">
                    <w:rPr>
                      <w:noProof/>
                      <w:webHidden/>
                    </w:rPr>
                    <w:tab/>
                  </w:r>
                  <w:r w:rsidR="00154A9B">
                    <w:rPr>
                      <w:noProof/>
                      <w:webHidden/>
                    </w:rPr>
                    <w:fldChar w:fldCharType="begin"/>
                  </w:r>
                  <w:r w:rsidR="00154A9B">
                    <w:rPr>
                      <w:noProof/>
                      <w:webHidden/>
                    </w:rPr>
                    <w:instrText xml:space="preserve"> PAGEREF _Toc175822514 \h </w:instrText>
                  </w:r>
                  <w:r w:rsidR="00154A9B">
                    <w:rPr>
                      <w:noProof/>
                      <w:webHidden/>
                    </w:rPr>
                  </w:r>
                  <w:r w:rsidR="00154A9B">
                    <w:rPr>
                      <w:noProof/>
                      <w:webHidden/>
                    </w:rPr>
                    <w:fldChar w:fldCharType="separate"/>
                  </w:r>
                  <w:r w:rsidR="00DE7929">
                    <w:rPr>
                      <w:noProof/>
                      <w:webHidden/>
                    </w:rPr>
                    <w:t>18</w:t>
                  </w:r>
                  <w:r w:rsidR="00154A9B">
                    <w:rPr>
                      <w:noProof/>
                      <w:webHidden/>
                    </w:rPr>
                    <w:fldChar w:fldCharType="end"/>
                  </w:r>
                </w:hyperlink>
              </w:p>
              <w:p w14:paraId="2B6B6592" w14:textId="25CBC3EE" w:rsidR="00154A9B" w:rsidRDefault="00FF7BE4">
                <w:pPr>
                  <w:pStyle w:val="TOC1"/>
                  <w:tabs>
                    <w:tab w:val="right" w:leader="dot" w:pos="9062"/>
                  </w:tabs>
                  <w:rPr>
                    <w:rFonts w:asciiTheme="minorHAnsi" w:eastAsiaTheme="minorEastAsia" w:hAnsiTheme="minorHAnsi" w:cstheme="minorBidi"/>
                    <w:noProof/>
                    <w:lang w:eastAsia="bg-BG"/>
                  </w:rPr>
                </w:pPr>
                <w:hyperlink w:anchor="_Toc175822515" w:history="1">
                  <w:r w:rsidR="00154A9B" w:rsidRPr="00933459">
                    <w:rPr>
                      <w:rStyle w:val="Hyperlink"/>
                      <w:rFonts w:ascii="Times New Roman" w:hAnsi="Times New Roman"/>
                      <w:noProof/>
                      <w:bdr w:val="none" w:sz="0" w:space="0" w:color="auto" w:frame="1"/>
                      <w:lang w:eastAsia="bg-BG"/>
                    </w:rPr>
                    <w:t>ЗАКЛЮЧЕНИЕ</w:t>
                  </w:r>
                  <w:r w:rsidR="00154A9B">
                    <w:rPr>
                      <w:noProof/>
                      <w:webHidden/>
                    </w:rPr>
                    <w:tab/>
                  </w:r>
                  <w:r w:rsidR="00154A9B">
                    <w:rPr>
                      <w:noProof/>
                      <w:webHidden/>
                    </w:rPr>
                    <w:fldChar w:fldCharType="begin"/>
                  </w:r>
                  <w:r w:rsidR="00154A9B">
                    <w:rPr>
                      <w:noProof/>
                      <w:webHidden/>
                    </w:rPr>
                    <w:instrText xml:space="preserve"> PAGEREF _Toc175822515 \h </w:instrText>
                  </w:r>
                  <w:r w:rsidR="00154A9B">
                    <w:rPr>
                      <w:noProof/>
                      <w:webHidden/>
                    </w:rPr>
                  </w:r>
                  <w:r w:rsidR="00154A9B">
                    <w:rPr>
                      <w:noProof/>
                      <w:webHidden/>
                    </w:rPr>
                    <w:fldChar w:fldCharType="separate"/>
                  </w:r>
                  <w:r w:rsidR="00DE7929">
                    <w:rPr>
                      <w:noProof/>
                      <w:webHidden/>
                    </w:rPr>
                    <w:t>19</w:t>
                  </w:r>
                  <w:r w:rsidR="00154A9B">
                    <w:rPr>
                      <w:noProof/>
                      <w:webHidden/>
                    </w:rPr>
                    <w:fldChar w:fldCharType="end"/>
                  </w:r>
                </w:hyperlink>
              </w:p>
              <w:p w14:paraId="3B9B2CEA" w14:textId="6426B274" w:rsidR="00154A9B" w:rsidRDefault="00154A9B">
                <w:r>
                  <w:rPr>
                    <w:b/>
                    <w:bCs/>
                    <w:noProof/>
                  </w:rPr>
                  <w:fldChar w:fldCharType="end"/>
                </w:r>
              </w:p>
            </w:sdtContent>
          </w:sdt>
          <w:p w14:paraId="45E5AD03" w14:textId="7186CCA8" w:rsidR="00154A9B" w:rsidRPr="00AB31D3" w:rsidRDefault="00154A9B" w:rsidP="00E14513">
            <w:pPr>
              <w:pStyle w:val="Heading1"/>
              <w:spacing w:line="240" w:lineRule="auto"/>
              <w:rPr>
                <w:rFonts w:ascii="Times New Roman" w:hAnsi="Times New Roman"/>
                <w:color w:val="auto"/>
                <w:sz w:val="28"/>
                <w:szCs w:val="28"/>
                <w:bdr w:val="none" w:sz="0" w:space="0" w:color="auto" w:frame="1"/>
                <w:lang w:val="en-US" w:eastAsia="bg-BG"/>
              </w:rPr>
            </w:pPr>
          </w:p>
        </w:tc>
      </w:tr>
    </w:tbl>
    <w:p w14:paraId="338B0673" w14:textId="77777777" w:rsidR="00260FC9" w:rsidRPr="00252B6B" w:rsidRDefault="00260FC9">
      <w:pPr>
        <w:rPr>
          <w:rFonts w:ascii="Times New Roman" w:eastAsia="Times New Roman" w:hAnsi="Times New Roman"/>
          <w:b/>
          <w:bCs/>
          <w:sz w:val="24"/>
          <w:szCs w:val="24"/>
          <w:bdr w:val="none" w:sz="0" w:space="0" w:color="auto" w:frame="1"/>
          <w:lang w:eastAsia="bg-BG"/>
        </w:rPr>
      </w:pPr>
      <w:r w:rsidRPr="00252B6B">
        <w:rPr>
          <w:rFonts w:ascii="Times New Roman" w:eastAsia="Times New Roman" w:hAnsi="Times New Roman"/>
          <w:b/>
          <w:bCs/>
          <w:sz w:val="24"/>
          <w:szCs w:val="24"/>
          <w:bdr w:val="none" w:sz="0" w:space="0" w:color="auto" w:frame="1"/>
          <w:lang w:eastAsia="bg-BG"/>
        </w:rPr>
        <w:br w:type="page"/>
      </w:r>
    </w:p>
    <w:p w14:paraId="77833467" w14:textId="77777777" w:rsidR="00A23067" w:rsidRPr="00792F66" w:rsidRDefault="00891F43" w:rsidP="0052312D">
      <w:pPr>
        <w:pStyle w:val="Heading1"/>
        <w:spacing w:before="0" w:line="240" w:lineRule="auto"/>
        <w:rPr>
          <w:rFonts w:ascii="Times New Roman" w:hAnsi="Times New Roman"/>
          <w:color w:val="auto"/>
          <w:bdr w:val="none" w:sz="0" w:space="0" w:color="auto" w:frame="1"/>
          <w:lang w:val="ru-RU" w:eastAsia="bg-BG"/>
        </w:rPr>
      </w:pPr>
      <w:bookmarkStart w:id="1" w:name="_Toc118121786"/>
      <w:bookmarkStart w:id="2" w:name="_Toc175822507"/>
      <w:r w:rsidRPr="00252B6B">
        <w:rPr>
          <w:rFonts w:ascii="Times New Roman" w:hAnsi="Times New Roman"/>
          <w:color w:val="auto"/>
          <w:bdr w:val="none" w:sz="0" w:space="0" w:color="auto" w:frame="1"/>
          <w:lang w:eastAsia="bg-BG"/>
        </w:rPr>
        <w:lastRenderedPageBreak/>
        <w:t>ВЪВЕДЕНИЕ</w:t>
      </w:r>
      <w:bookmarkEnd w:id="1"/>
      <w:bookmarkEnd w:id="2"/>
    </w:p>
    <w:p w14:paraId="7F7E5052" w14:textId="77777777" w:rsidR="00891F43" w:rsidRPr="00792F66" w:rsidRDefault="00891F43" w:rsidP="00301875">
      <w:pPr>
        <w:pStyle w:val="ListParagraph"/>
        <w:spacing w:after="0" w:line="240" w:lineRule="auto"/>
        <w:ind w:left="270"/>
        <w:rPr>
          <w:rFonts w:ascii="Times New Roman" w:eastAsia="Times New Roman" w:hAnsi="Times New Roman"/>
          <w:b/>
          <w:bCs/>
          <w:sz w:val="24"/>
          <w:szCs w:val="24"/>
          <w:bdr w:val="none" w:sz="0" w:space="0" w:color="auto" w:frame="1"/>
          <w:lang w:val="ru-RU" w:eastAsia="bg-BG"/>
        </w:rPr>
      </w:pPr>
    </w:p>
    <w:p w14:paraId="2BDC5233" w14:textId="77777777" w:rsidR="001C4445" w:rsidRPr="001C4445" w:rsidRDefault="001C4445" w:rsidP="001C4445">
      <w:pPr>
        <w:spacing w:after="0" w:line="240" w:lineRule="auto"/>
        <w:ind w:firstLine="720"/>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В</w:t>
      </w:r>
      <w:r w:rsidRPr="001C4445">
        <w:rPr>
          <w:rFonts w:ascii="Times New Roman" w:eastAsia="Times New Roman" w:hAnsi="Times New Roman"/>
          <w:bCs/>
          <w:sz w:val="24"/>
          <w:szCs w:val="24"/>
          <w:bdr w:val="none" w:sz="0" w:space="0" w:color="auto" w:frame="1"/>
          <w:lang w:eastAsia="bg-BG"/>
        </w:rPr>
        <w:t xml:space="preserve"> процес </w:t>
      </w:r>
      <w:r>
        <w:rPr>
          <w:rFonts w:ascii="Times New Roman" w:eastAsia="Times New Roman" w:hAnsi="Times New Roman"/>
          <w:bCs/>
          <w:sz w:val="24"/>
          <w:szCs w:val="24"/>
          <w:bdr w:val="none" w:sz="0" w:space="0" w:color="auto" w:frame="1"/>
          <w:lang w:eastAsia="bg-BG"/>
        </w:rPr>
        <w:t>на</w:t>
      </w:r>
      <w:r w:rsidRPr="001C4445">
        <w:rPr>
          <w:rFonts w:ascii="Times New Roman" w:eastAsia="Times New Roman" w:hAnsi="Times New Roman"/>
          <w:bCs/>
          <w:sz w:val="24"/>
          <w:szCs w:val="24"/>
          <w:bdr w:val="none" w:sz="0" w:space="0" w:color="auto" w:frame="1"/>
          <w:lang w:eastAsia="bg-BG"/>
        </w:rPr>
        <w:t xml:space="preserve"> изпълнение е Национална програма за подобряване качеството на атмосферния въздух 2018 - 2024г. (НППКАВ), която е приета с Решение №334 от 7-ми юни 2019г. на Министерския съвет. Изпълнението на НППКАВ следва да доведе до подобряване качеството на атмосферния въздух по замърсител фини </w:t>
      </w:r>
      <w:proofErr w:type="spellStart"/>
      <w:r w:rsidRPr="001C4445">
        <w:rPr>
          <w:rFonts w:ascii="Times New Roman" w:eastAsia="Times New Roman" w:hAnsi="Times New Roman"/>
          <w:bCs/>
          <w:sz w:val="24"/>
          <w:szCs w:val="24"/>
          <w:bdr w:val="none" w:sz="0" w:space="0" w:color="auto" w:frame="1"/>
          <w:lang w:eastAsia="bg-BG"/>
        </w:rPr>
        <w:t>прахови</w:t>
      </w:r>
      <w:proofErr w:type="spellEnd"/>
      <w:r w:rsidRPr="001C4445">
        <w:rPr>
          <w:rFonts w:ascii="Times New Roman" w:eastAsia="Times New Roman" w:hAnsi="Times New Roman"/>
          <w:bCs/>
          <w:sz w:val="24"/>
          <w:szCs w:val="24"/>
          <w:bdr w:val="none" w:sz="0" w:space="0" w:color="auto" w:frame="1"/>
          <w:lang w:eastAsia="bg-BG"/>
        </w:rPr>
        <w:t xml:space="preserve"> частици (ФПЧ</w:t>
      </w:r>
      <w:r w:rsidRPr="001C4445">
        <w:rPr>
          <w:rFonts w:ascii="Times New Roman" w:eastAsia="Times New Roman" w:hAnsi="Times New Roman"/>
          <w:bCs/>
          <w:sz w:val="24"/>
          <w:szCs w:val="24"/>
          <w:bdr w:val="none" w:sz="0" w:space="0" w:color="auto" w:frame="1"/>
          <w:vertAlign w:val="subscript"/>
          <w:lang w:eastAsia="bg-BG"/>
        </w:rPr>
        <w:t>10</w:t>
      </w:r>
      <w:r w:rsidRPr="001C4445">
        <w:rPr>
          <w:rFonts w:ascii="Times New Roman" w:eastAsia="Times New Roman" w:hAnsi="Times New Roman"/>
          <w:bCs/>
          <w:sz w:val="24"/>
          <w:szCs w:val="24"/>
          <w:bdr w:val="none" w:sz="0" w:space="0" w:color="auto" w:frame="1"/>
          <w:lang w:eastAsia="bg-BG"/>
        </w:rPr>
        <w:t xml:space="preserve">) и постигане на съответствие с </w:t>
      </w:r>
      <w:r w:rsidRPr="001C4445">
        <w:rPr>
          <w:rFonts w:ascii="Times New Roman" w:eastAsia="Times New Roman" w:hAnsi="Times New Roman"/>
          <w:bCs/>
          <w:i/>
          <w:sz w:val="24"/>
          <w:szCs w:val="24"/>
          <w:bdr w:val="none" w:sz="0" w:space="0" w:color="auto" w:frame="1"/>
          <w:lang w:eastAsia="bg-BG"/>
        </w:rPr>
        <w:t>Директива 2008/50/ЕО относно качеството на атмосферния въздух и за по-чист въздух за Европа.</w:t>
      </w:r>
    </w:p>
    <w:p w14:paraId="1C825144" w14:textId="478B0F4F" w:rsidR="006C1365" w:rsidRDefault="00E575D6" w:rsidP="001C4445">
      <w:pPr>
        <w:spacing w:after="0" w:line="240" w:lineRule="auto"/>
        <w:ind w:firstLine="720"/>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Националната п</w:t>
      </w:r>
      <w:r w:rsidR="0059269E" w:rsidRPr="00252B6B">
        <w:rPr>
          <w:rFonts w:ascii="Times New Roman" w:eastAsia="Times New Roman" w:hAnsi="Times New Roman"/>
          <w:bCs/>
          <w:sz w:val="24"/>
          <w:szCs w:val="24"/>
          <w:bdr w:val="none" w:sz="0" w:space="0" w:color="auto" w:frame="1"/>
          <w:lang w:eastAsia="bg-BG"/>
        </w:rPr>
        <w:t>рограма предлага мерки за намаляване на емисиите на първични ФПЧ</w:t>
      </w:r>
      <w:r w:rsidR="0059269E" w:rsidRPr="00252B6B">
        <w:rPr>
          <w:rFonts w:ascii="Times New Roman" w:eastAsia="Times New Roman" w:hAnsi="Times New Roman"/>
          <w:bCs/>
          <w:sz w:val="24"/>
          <w:szCs w:val="24"/>
          <w:bdr w:val="none" w:sz="0" w:space="0" w:color="auto" w:frame="1"/>
          <w:vertAlign w:val="subscript"/>
          <w:lang w:eastAsia="bg-BG"/>
        </w:rPr>
        <w:t>10</w:t>
      </w:r>
      <w:r w:rsidR="0059269E" w:rsidRPr="00252B6B">
        <w:rPr>
          <w:rFonts w:ascii="Times New Roman" w:eastAsia="Times New Roman" w:hAnsi="Times New Roman"/>
          <w:bCs/>
          <w:sz w:val="24"/>
          <w:szCs w:val="24"/>
          <w:bdr w:val="none" w:sz="0" w:space="0" w:color="auto" w:frame="1"/>
          <w:lang w:eastAsia="bg-BG"/>
        </w:rPr>
        <w:t xml:space="preserve"> от </w:t>
      </w:r>
      <w:r w:rsidR="009239AA">
        <w:rPr>
          <w:rFonts w:ascii="Times New Roman" w:eastAsia="Times New Roman" w:hAnsi="Times New Roman"/>
          <w:bCs/>
          <w:sz w:val="24"/>
          <w:szCs w:val="24"/>
          <w:bdr w:val="none" w:sz="0" w:space="0" w:color="auto" w:frame="1"/>
          <w:lang w:eastAsia="bg-BG"/>
        </w:rPr>
        <w:t>идентифицираните основни</w:t>
      </w:r>
      <w:r w:rsidR="009239AA" w:rsidRPr="00252B6B">
        <w:rPr>
          <w:rFonts w:ascii="Times New Roman" w:eastAsia="Times New Roman" w:hAnsi="Times New Roman"/>
          <w:bCs/>
          <w:sz w:val="24"/>
          <w:szCs w:val="24"/>
          <w:bdr w:val="none" w:sz="0" w:space="0" w:color="auto" w:frame="1"/>
          <w:lang w:eastAsia="bg-BG"/>
        </w:rPr>
        <w:t xml:space="preserve"> </w:t>
      </w:r>
      <w:r w:rsidR="0059269E" w:rsidRPr="00252B6B">
        <w:rPr>
          <w:rFonts w:ascii="Times New Roman" w:eastAsia="Times New Roman" w:hAnsi="Times New Roman"/>
          <w:bCs/>
          <w:sz w:val="24"/>
          <w:szCs w:val="24"/>
          <w:bdr w:val="none" w:sz="0" w:space="0" w:color="auto" w:frame="1"/>
          <w:lang w:eastAsia="bg-BG"/>
        </w:rPr>
        <w:t xml:space="preserve">източници – битово отопление на твърди горива и транспортния сектор (основно дизелови автомобили). </w:t>
      </w:r>
      <w:r w:rsidR="002D7472" w:rsidRPr="00252B6B">
        <w:rPr>
          <w:rFonts w:ascii="Times New Roman" w:eastAsia="Times New Roman" w:hAnsi="Times New Roman"/>
          <w:bCs/>
          <w:sz w:val="24"/>
          <w:szCs w:val="24"/>
          <w:bdr w:val="none" w:sz="0" w:space="0" w:color="auto" w:frame="1"/>
          <w:lang w:eastAsia="bg-BG"/>
        </w:rPr>
        <w:t xml:space="preserve">С </w:t>
      </w:r>
      <w:r w:rsidR="002D7472">
        <w:rPr>
          <w:rFonts w:ascii="Times New Roman" w:eastAsia="Times New Roman" w:hAnsi="Times New Roman"/>
          <w:bCs/>
          <w:sz w:val="24"/>
          <w:szCs w:val="24"/>
          <w:bdr w:val="none" w:sz="0" w:space="0" w:color="auto" w:frame="1"/>
          <w:lang w:eastAsia="bg-BG"/>
        </w:rPr>
        <w:t xml:space="preserve">изпълнението на </w:t>
      </w:r>
      <w:r w:rsidR="002D7472" w:rsidRPr="00252B6B">
        <w:rPr>
          <w:rFonts w:ascii="Times New Roman" w:eastAsia="Times New Roman" w:hAnsi="Times New Roman"/>
          <w:bCs/>
          <w:sz w:val="24"/>
          <w:szCs w:val="24"/>
          <w:bdr w:val="none" w:sz="0" w:space="0" w:color="auto" w:frame="1"/>
          <w:lang w:eastAsia="bg-BG"/>
        </w:rPr>
        <w:t>мерките в програмата се цели в общини</w:t>
      </w:r>
      <w:r w:rsidR="002D7472">
        <w:rPr>
          <w:rFonts w:ascii="Times New Roman" w:eastAsia="Times New Roman" w:hAnsi="Times New Roman"/>
          <w:bCs/>
          <w:sz w:val="24"/>
          <w:szCs w:val="24"/>
          <w:bdr w:val="none" w:sz="0" w:space="0" w:color="auto" w:frame="1"/>
          <w:lang w:eastAsia="bg-BG"/>
        </w:rPr>
        <w:t>те</w:t>
      </w:r>
      <w:r w:rsidR="002D7472" w:rsidRPr="00252B6B">
        <w:rPr>
          <w:rFonts w:ascii="Times New Roman" w:eastAsia="Times New Roman" w:hAnsi="Times New Roman"/>
          <w:bCs/>
          <w:sz w:val="24"/>
          <w:szCs w:val="24"/>
          <w:bdr w:val="none" w:sz="0" w:space="0" w:color="auto" w:frame="1"/>
          <w:lang w:eastAsia="bg-BG"/>
        </w:rPr>
        <w:t xml:space="preserve"> с нарушено качество на въздуха да бъдат достигнати установените в законодателството норми</w:t>
      </w:r>
      <w:r w:rsidR="00A258E9">
        <w:rPr>
          <w:rFonts w:ascii="Times New Roman" w:eastAsia="Times New Roman" w:hAnsi="Times New Roman"/>
          <w:bCs/>
          <w:sz w:val="24"/>
          <w:szCs w:val="24"/>
          <w:bdr w:val="none" w:sz="0" w:space="0" w:color="auto" w:frame="1"/>
          <w:lang w:eastAsia="bg-BG"/>
        </w:rPr>
        <w:t>,</w:t>
      </w:r>
      <w:r w:rsidR="00A258E9" w:rsidRPr="00A258E9">
        <w:rPr>
          <w:rFonts w:ascii="Times New Roman" w:eastAsia="Times New Roman" w:hAnsi="Times New Roman"/>
          <w:bCs/>
          <w:sz w:val="24"/>
          <w:szCs w:val="24"/>
          <w:bdr w:val="none" w:sz="0" w:space="0" w:color="auto" w:frame="1"/>
          <w:lang w:eastAsia="bg-BG"/>
        </w:rPr>
        <w:t xml:space="preserve"> </w:t>
      </w:r>
      <w:r w:rsidR="00A258E9" w:rsidRPr="00252B6B">
        <w:rPr>
          <w:rFonts w:ascii="Times New Roman" w:eastAsia="Times New Roman" w:hAnsi="Times New Roman"/>
          <w:bCs/>
          <w:sz w:val="24"/>
          <w:szCs w:val="24"/>
          <w:bdr w:val="none" w:sz="0" w:space="0" w:color="auto" w:frame="1"/>
          <w:lang w:eastAsia="bg-BG"/>
        </w:rPr>
        <w:t>в най-кратък възможен срок, но не по-късно от 2024г</w:t>
      </w:r>
      <w:r w:rsidR="002D7472" w:rsidRPr="00252B6B">
        <w:rPr>
          <w:rFonts w:ascii="Times New Roman" w:eastAsia="Times New Roman" w:hAnsi="Times New Roman"/>
          <w:bCs/>
          <w:sz w:val="24"/>
          <w:szCs w:val="24"/>
          <w:bdr w:val="none" w:sz="0" w:space="0" w:color="auto" w:frame="1"/>
          <w:lang w:eastAsia="bg-BG"/>
        </w:rPr>
        <w:t xml:space="preserve">. </w:t>
      </w:r>
      <w:r w:rsidR="0059269E" w:rsidRPr="00252B6B">
        <w:rPr>
          <w:rFonts w:ascii="Times New Roman" w:eastAsia="Times New Roman" w:hAnsi="Times New Roman"/>
          <w:bCs/>
          <w:sz w:val="24"/>
          <w:szCs w:val="24"/>
          <w:bdr w:val="none" w:sz="0" w:space="0" w:color="auto" w:frame="1"/>
          <w:lang w:eastAsia="bg-BG"/>
        </w:rPr>
        <w:t xml:space="preserve">Очаква се </w:t>
      </w:r>
      <w:r w:rsidR="002D7472" w:rsidRPr="00252B6B">
        <w:rPr>
          <w:rFonts w:ascii="Times New Roman" w:eastAsia="Times New Roman" w:hAnsi="Times New Roman"/>
          <w:bCs/>
          <w:sz w:val="24"/>
          <w:szCs w:val="24"/>
          <w:bdr w:val="none" w:sz="0" w:space="0" w:color="auto" w:frame="1"/>
          <w:lang w:eastAsia="bg-BG"/>
        </w:rPr>
        <w:t>също</w:t>
      </w:r>
      <w:r w:rsidR="002D7472">
        <w:rPr>
          <w:rFonts w:ascii="Times New Roman" w:eastAsia="Times New Roman" w:hAnsi="Times New Roman"/>
          <w:bCs/>
          <w:sz w:val="24"/>
          <w:szCs w:val="24"/>
          <w:bdr w:val="none" w:sz="0" w:space="0" w:color="auto" w:frame="1"/>
          <w:lang w:eastAsia="bg-BG"/>
        </w:rPr>
        <w:t xml:space="preserve"> </w:t>
      </w:r>
      <w:r w:rsidR="00871F89" w:rsidRPr="00252B6B">
        <w:rPr>
          <w:rFonts w:ascii="Times New Roman" w:eastAsia="Times New Roman" w:hAnsi="Times New Roman"/>
          <w:bCs/>
          <w:sz w:val="24"/>
          <w:szCs w:val="24"/>
          <w:bdr w:val="none" w:sz="0" w:space="0" w:color="auto" w:frame="1"/>
          <w:lang w:eastAsia="bg-BG"/>
        </w:rPr>
        <w:t>изпълнението на</w:t>
      </w:r>
      <w:r w:rsidR="0059269E" w:rsidRPr="00252B6B">
        <w:rPr>
          <w:rFonts w:ascii="Times New Roman" w:eastAsia="Times New Roman" w:hAnsi="Times New Roman"/>
          <w:bCs/>
          <w:sz w:val="24"/>
          <w:szCs w:val="24"/>
          <w:bdr w:val="none" w:sz="0" w:space="0" w:color="auto" w:frame="1"/>
          <w:lang w:eastAsia="bg-BG"/>
        </w:rPr>
        <w:t xml:space="preserve"> мерки</w:t>
      </w:r>
      <w:r w:rsidR="00871F89" w:rsidRPr="00252B6B">
        <w:rPr>
          <w:rFonts w:ascii="Times New Roman" w:eastAsia="Times New Roman" w:hAnsi="Times New Roman"/>
          <w:bCs/>
          <w:sz w:val="24"/>
          <w:szCs w:val="24"/>
          <w:bdr w:val="none" w:sz="0" w:space="0" w:color="auto" w:frame="1"/>
          <w:lang w:eastAsia="bg-BG"/>
        </w:rPr>
        <w:t>те</w:t>
      </w:r>
      <w:r w:rsidR="0059269E" w:rsidRPr="00252B6B">
        <w:rPr>
          <w:rFonts w:ascii="Times New Roman" w:eastAsia="Times New Roman" w:hAnsi="Times New Roman"/>
          <w:bCs/>
          <w:sz w:val="24"/>
          <w:szCs w:val="24"/>
          <w:bdr w:val="none" w:sz="0" w:space="0" w:color="auto" w:frame="1"/>
          <w:lang w:eastAsia="bg-BG"/>
        </w:rPr>
        <w:t xml:space="preserve"> </w:t>
      </w:r>
      <w:r w:rsidR="00DA0609">
        <w:rPr>
          <w:rFonts w:ascii="Times New Roman" w:eastAsia="Times New Roman" w:hAnsi="Times New Roman"/>
          <w:bCs/>
          <w:sz w:val="24"/>
          <w:szCs w:val="24"/>
          <w:bdr w:val="none" w:sz="0" w:space="0" w:color="auto" w:frame="1"/>
          <w:lang w:eastAsia="bg-BG"/>
        </w:rPr>
        <w:t xml:space="preserve">по програмата </w:t>
      </w:r>
      <w:r w:rsidR="002D7472">
        <w:rPr>
          <w:rFonts w:ascii="Times New Roman" w:eastAsia="Times New Roman" w:hAnsi="Times New Roman"/>
          <w:bCs/>
          <w:sz w:val="24"/>
          <w:szCs w:val="24"/>
          <w:bdr w:val="none" w:sz="0" w:space="0" w:color="auto" w:frame="1"/>
          <w:lang w:eastAsia="bg-BG"/>
        </w:rPr>
        <w:t xml:space="preserve">да доведе до </w:t>
      </w:r>
      <w:r w:rsidR="0059269E" w:rsidRPr="00252B6B">
        <w:rPr>
          <w:rFonts w:ascii="Times New Roman" w:eastAsia="Times New Roman" w:hAnsi="Times New Roman"/>
          <w:bCs/>
          <w:sz w:val="24"/>
          <w:szCs w:val="24"/>
          <w:bdr w:val="none" w:sz="0" w:space="0" w:color="auto" w:frame="1"/>
          <w:lang w:eastAsia="bg-BG"/>
        </w:rPr>
        <w:t>намаля</w:t>
      </w:r>
      <w:r w:rsidR="002D7472">
        <w:rPr>
          <w:rFonts w:ascii="Times New Roman" w:eastAsia="Times New Roman" w:hAnsi="Times New Roman"/>
          <w:bCs/>
          <w:sz w:val="24"/>
          <w:szCs w:val="24"/>
          <w:bdr w:val="none" w:sz="0" w:space="0" w:color="auto" w:frame="1"/>
          <w:lang w:eastAsia="bg-BG"/>
        </w:rPr>
        <w:t>ване</w:t>
      </w:r>
      <w:r w:rsidR="0059269E" w:rsidRPr="00252B6B">
        <w:rPr>
          <w:rFonts w:ascii="Times New Roman" w:eastAsia="Times New Roman" w:hAnsi="Times New Roman"/>
          <w:bCs/>
          <w:sz w:val="24"/>
          <w:szCs w:val="24"/>
          <w:bdr w:val="none" w:sz="0" w:space="0" w:color="auto" w:frame="1"/>
          <w:lang w:eastAsia="bg-BG"/>
        </w:rPr>
        <w:t xml:space="preserve"> </w:t>
      </w:r>
      <w:r w:rsidR="002D7472">
        <w:rPr>
          <w:rFonts w:ascii="Times New Roman" w:eastAsia="Times New Roman" w:hAnsi="Times New Roman"/>
          <w:bCs/>
          <w:sz w:val="24"/>
          <w:szCs w:val="24"/>
          <w:bdr w:val="none" w:sz="0" w:space="0" w:color="auto" w:frame="1"/>
          <w:lang w:eastAsia="bg-BG"/>
        </w:rPr>
        <w:t xml:space="preserve">на </w:t>
      </w:r>
      <w:r w:rsidR="0059269E" w:rsidRPr="00252B6B">
        <w:rPr>
          <w:rFonts w:ascii="Times New Roman" w:eastAsia="Times New Roman" w:hAnsi="Times New Roman"/>
          <w:bCs/>
          <w:sz w:val="24"/>
          <w:szCs w:val="24"/>
          <w:bdr w:val="none" w:sz="0" w:space="0" w:color="auto" w:frame="1"/>
          <w:lang w:eastAsia="bg-BG"/>
        </w:rPr>
        <w:t>емисиите на ФПЧ</w:t>
      </w:r>
      <w:r w:rsidR="0059269E" w:rsidRPr="00252B6B">
        <w:rPr>
          <w:rFonts w:ascii="Times New Roman" w:eastAsia="Times New Roman" w:hAnsi="Times New Roman"/>
          <w:bCs/>
          <w:sz w:val="24"/>
          <w:szCs w:val="24"/>
          <w:bdr w:val="none" w:sz="0" w:space="0" w:color="auto" w:frame="1"/>
          <w:vertAlign w:val="subscript"/>
          <w:lang w:eastAsia="bg-BG"/>
        </w:rPr>
        <w:t>2.5</w:t>
      </w:r>
      <w:r w:rsidR="0059269E" w:rsidRPr="00252B6B">
        <w:rPr>
          <w:rFonts w:ascii="Times New Roman" w:eastAsia="Times New Roman" w:hAnsi="Times New Roman"/>
          <w:bCs/>
          <w:sz w:val="24"/>
          <w:szCs w:val="24"/>
          <w:bdr w:val="none" w:sz="0" w:space="0" w:color="auto" w:frame="1"/>
          <w:lang w:eastAsia="bg-BG"/>
        </w:rPr>
        <w:t xml:space="preserve"> и </w:t>
      </w:r>
      <w:proofErr w:type="spellStart"/>
      <w:r w:rsidR="00B60305" w:rsidRPr="00252B6B">
        <w:rPr>
          <w:rFonts w:ascii="Times New Roman" w:eastAsia="Times New Roman" w:hAnsi="Times New Roman"/>
          <w:bCs/>
          <w:sz w:val="24"/>
          <w:szCs w:val="24"/>
          <w:bdr w:val="none" w:sz="0" w:space="0" w:color="auto" w:frame="1"/>
          <w:lang w:eastAsia="bg-BG"/>
        </w:rPr>
        <w:t>полициклични</w:t>
      </w:r>
      <w:proofErr w:type="spellEnd"/>
      <w:r w:rsidR="00B60305" w:rsidRPr="00252B6B">
        <w:rPr>
          <w:rFonts w:ascii="Times New Roman" w:eastAsia="Times New Roman" w:hAnsi="Times New Roman"/>
          <w:bCs/>
          <w:sz w:val="24"/>
          <w:szCs w:val="24"/>
          <w:bdr w:val="none" w:sz="0" w:space="0" w:color="auto" w:frame="1"/>
          <w:lang w:eastAsia="bg-BG"/>
        </w:rPr>
        <w:t xml:space="preserve"> </w:t>
      </w:r>
      <w:r w:rsidR="0059269E" w:rsidRPr="00252B6B">
        <w:rPr>
          <w:rFonts w:ascii="Times New Roman" w:eastAsia="Times New Roman" w:hAnsi="Times New Roman"/>
          <w:bCs/>
          <w:sz w:val="24"/>
          <w:szCs w:val="24"/>
          <w:bdr w:val="none" w:sz="0" w:space="0" w:color="auto" w:frame="1"/>
          <w:lang w:eastAsia="bg-BG"/>
        </w:rPr>
        <w:t xml:space="preserve">ароматни въглеводороди, с което да се постигнат </w:t>
      </w:r>
      <w:r w:rsidR="002D7472">
        <w:rPr>
          <w:rFonts w:ascii="Times New Roman" w:eastAsia="Times New Roman" w:hAnsi="Times New Roman"/>
          <w:bCs/>
          <w:sz w:val="24"/>
          <w:szCs w:val="24"/>
          <w:bdr w:val="none" w:sz="0" w:space="0" w:color="auto" w:frame="1"/>
          <w:lang w:eastAsia="bg-BG"/>
        </w:rPr>
        <w:t>допълнителни</w:t>
      </w:r>
      <w:r w:rsidR="0059269E" w:rsidRPr="00252B6B">
        <w:rPr>
          <w:rFonts w:ascii="Times New Roman" w:eastAsia="Times New Roman" w:hAnsi="Times New Roman"/>
          <w:bCs/>
          <w:sz w:val="24"/>
          <w:szCs w:val="24"/>
          <w:bdr w:val="none" w:sz="0" w:space="0" w:color="auto" w:frame="1"/>
          <w:lang w:eastAsia="bg-BG"/>
        </w:rPr>
        <w:t xml:space="preserve"> ползи за човешкото здраве.</w:t>
      </w:r>
      <w:r w:rsidR="00B03C21" w:rsidRPr="00252B6B">
        <w:rPr>
          <w:rFonts w:ascii="Times New Roman" w:eastAsia="Times New Roman" w:hAnsi="Times New Roman"/>
          <w:bCs/>
          <w:sz w:val="24"/>
          <w:szCs w:val="24"/>
          <w:bdr w:val="none" w:sz="0" w:space="0" w:color="auto" w:frame="1"/>
          <w:lang w:eastAsia="bg-BG"/>
        </w:rPr>
        <w:t xml:space="preserve"> </w:t>
      </w:r>
      <w:r w:rsidR="0059269E" w:rsidRPr="00252B6B">
        <w:rPr>
          <w:rFonts w:ascii="Times New Roman" w:eastAsia="Times New Roman" w:hAnsi="Times New Roman"/>
          <w:bCs/>
          <w:sz w:val="24"/>
          <w:szCs w:val="24"/>
          <w:bdr w:val="none" w:sz="0" w:space="0" w:color="auto" w:frame="1"/>
          <w:lang w:eastAsia="bg-BG"/>
        </w:rPr>
        <w:t xml:space="preserve">За изпълнението на програмата </w:t>
      </w:r>
      <w:r w:rsidR="002D7472">
        <w:rPr>
          <w:rFonts w:ascii="Times New Roman" w:eastAsia="Times New Roman" w:hAnsi="Times New Roman"/>
          <w:bCs/>
          <w:sz w:val="24"/>
          <w:szCs w:val="24"/>
          <w:bdr w:val="none" w:sz="0" w:space="0" w:color="auto" w:frame="1"/>
          <w:lang w:eastAsia="bg-BG"/>
        </w:rPr>
        <w:t>е идентифицирана необходимост от</w:t>
      </w:r>
      <w:r w:rsidR="0059269E" w:rsidRPr="00252B6B">
        <w:rPr>
          <w:rFonts w:ascii="Times New Roman" w:eastAsia="Times New Roman" w:hAnsi="Times New Roman"/>
          <w:bCs/>
          <w:sz w:val="24"/>
          <w:szCs w:val="24"/>
          <w:bdr w:val="none" w:sz="0" w:space="0" w:color="auto" w:frame="1"/>
          <w:lang w:eastAsia="bg-BG"/>
        </w:rPr>
        <w:t xml:space="preserve"> активното участие, освен </w:t>
      </w:r>
      <w:r w:rsidR="002D7472">
        <w:rPr>
          <w:rFonts w:ascii="Times New Roman" w:eastAsia="Times New Roman" w:hAnsi="Times New Roman"/>
          <w:bCs/>
          <w:sz w:val="24"/>
          <w:szCs w:val="24"/>
          <w:bdr w:val="none" w:sz="0" w:space="0" w:color="auto" w:frame="1"/>
          <w:lang w:eastAsia="bg-BG"/>
        </w:rPr>
        <w:t xml:space="preserve">на </w:t>
      </w:r>
      <w:r w:rsidR="0059269E" w:rsidRPr="00252B6B">
        <w:rPr>
          <w:rFonts w:ascii="Times New Roman" w:eastAsia="Times New Roman" w:hAnsi="Times New Roman"/>
          <w:bCs/>
          <w:sz w:val="24"/>
          <w:szCs w:val="24"/>
          <w:bdr w:val="none" w:sz="0" w:space="0" w:color="auto" w:frame="1"/>
          <w:lang w:eastAsia="bg-BG"/>
        </w:rPr>
        <w:t xml:space="preserve">Министерство на околната среда и водите, </w:t>
      </w:r>
      <w:r w:rsidR="002D7472" w:rsidRPr="00252B6B">
        <w:rPr>
          <w:rFonts w:ascii="Times New Roman" w:eastAsia="Times New Roman" w:hAnsi="Times New Roman"/>
          <w:bCs/>
          <w:sz w:val="24"/>
          <w:szCs w:val="24"/>
          <w:bdr w:val="none" w:sz="0" w:space="0" w:color="auto" w:frame="1"/>
          <w:lang w:eastAsia="bg-BG"/>
        </w:rPr>
        <w:t xml:space="preserve">на няколко </w:t>
      </w:r>
      <w:r w:rsidR="002D7472">
        <w:rPr>
          <w:rFonts w:ascii="Times New Roman" w:eastAsia="Times New Roman" w:hAnsi="Times New Roman"/>
          <w:bCs/>
          <w:sz w:val="24"/>
          <w:szCs w:val="24"/>
          <w:bdr w:val="none" w:sz="0" w:space="0" w:color="auto" w:frame="1"/>
          <w:lang w:eastAsia="bg-BG"/>
        </w:rPr>
        <w:t xml:space="preserve">други </w:t>
      </w:r>
      <w:r w:rsidR="002D7472" w:rsidRPr="00252B6B">
        <w:rPr>
          <w:rFonts w:ascii="Times New Roman" w:eastAsia="Times New Roman" w:hAnsi="Times New Roman"/>
          <w:bCs/>
          <w:sz w:val="24"/>
          <w:szCs w:val="24"/>
          <w:bdr w:val="none" w:sz="0" w:space="0" w:color="auto" w:frame="1"/>
          <w:lang w:eastAsia="bg-BG"/>
        </w:rPr>
        <w:t>министерства</w:t>
      </w:r>
      <w:r w:rsidR="002D7472">
        <w:rPr>
          <w:rFonts w:ascii="Times New Roman" w:eastAsia="Times New Roman" w:hAnsi="Times New Roman"/>
          <w:bCs/>
          <w:sz w:val="24"/>
          <w:szCs w:val="24"/>
          <w:bdr w:val="none" w:sz="0" w:space="0" w:color="auto" w:frame="1"/>
          <w:lang w:eastAsia="bg-BG"/>
        </w:rPr>
        <w:t>,</w:t>
      </w:r>
      <w:r w:rsidR="002D7472" w:rsidRPr="00252B6B">
        <w:rPr>
          <w:rFonts w:ascii="Times New Roman" w:eastAsia="Times New Roman" w:hAnsi="Times New Roman"/>
          <w:bCs/>
          <w:sz w:val="24"/>
          <w:szCs w:val="24"/>
          <w:bdr w:val="none" w:sz="0" w:space="0" w:color="auto" w:frame="1"/>
          <w:lang w:eastAsia="bg-BG"/>
        </w:rPr>
        <w:t xml:space="preserve"> </w:t>
      </w:r>
      <w:r w:rsidR="0059269E" w:rsidRPr="00252B6B">
        <w:rPr>
          <w:rFonts w:ascii="Times New Roman" w:eastAsia="Times New Roman" w:hAnsi="Times New Roman"/>
          <w:bCs/>
          <w:sz w:val="24"/>
          <w:szCs w:val="24"/>
          <w:bdr w:val="none" w:sz="0" w:space="0" w:color="auto" w:frame="1"/>
          <w:lang w:eastAsia="bg-BG"/>
        </w:rPr>
        <w:t>изпълнителни агенции</w:t>
      </w:r>
      <w:r w:rsidR="002D7472">
        <w:rPr>
          <w:rFonts w:ascii="Times New Roman" w:eastAsia="Times New Roman" w:hAnsi="Times New Roman"/>
          <w:bCs/>
          <w:sz w:val="24"/>
          <w:szCs w:val="24"/>
          <w:bdr w:val="none" w:sz="0" w:space="0" w:color="auto" w:frame="1"/>
          <w:lang w:eastAsia="bg-BG"/>
        </w:rPr>
        <w:t>,</w:t>
      </w:r>
      <w:r w:rsidR="0059269E" w:rsidRPr="00252B6B">
        <w:rPr>
          <w:rFonts w:ascii="Times New Roman" w:eastAsia="Times New Roman" w:hAnsi="Times New Roman"/>
          <w:bCs/>
          <w:sz w:val="24"/>
          <w:szCs w:val="24"/>
          <w:bdr w:val="none" w:sz="0" w:space="0" w:color="auto" w:frame="1"/>
          <w:lang w:eastAsia="bg-BG"/>
        </w:rPr>
        <w:t xml:space="preserve"> </w:t>
      </w:r>
      <w:r w:rsidR="002D7472">
        <w:rPr>
          <w:rFonts w:ascii="Times New Roman" w:eastAsia="Times New Roman" w:hAnsi="Times New Roman"/>
          <w:bCs/>
          <w:sz w:val="24"/>
          <w:szCs w:val="24"/>
          <w:bdr w:val="none" w:sz="0" w:space="0" w:color="auto" w:frame="1"/>
          <w:lang w:eastAsia="bg-BG"/>
        </w:rPr>
        <w:t xml:space="preserve">както </w:t>
      </w:r>
      <w:r w:rsidR="0059269E" w:rsidRPr="00252B6B">
        <w:rPr>
          <w:rFonts w:ascii="Times New Roman" w:eastAsia="Times New Roman" w:hAnsi="Times New Roman"/>
          <w:bCs/>
          <w:sz w:val="24"/>
          <w:szCs w:val="24"/>
          <w:bdr w:val="none" w:sz="0" w:space="0" w:color="auto" w:frame="1"/>
          <w:lang w:eastAsia="bg-BG"/>
        </w:rPr>
        <w:t xml:space="preserve">и </w:t>
      </w:r>
      <w:r w:rsidR="002D7472">
        <w:rPr>
          <w:rFonts w:ascii="Times New Roman" w:eastAsia="Times New Roman" w:hAnsi="Times New Roman"/>
          <w:bCs/>
          <w:sz w:val="24"/>
          <w:szCs w:val="24"/>
          <w:bdr w:val="none" w:sz="0" w:space="0" w:color="auto" w:frame="1"/>
          <w:lang w:eastAsia="bg-BG"/>
        </w:rPr>
        <w:t xml:space="preserve">на </w:t>
      </w:r>
      <w:r w:rsidR="0059269E" w:rsidRPr="00252B6B">
        <w:rPr>
          <w:rFonts w:ascii="Times New Roman" w:eastAsia="Times New Roman" w:hAnsi="Times New Roman"/>
          <w:bCs/>
          <w:sz w:val="24"/>
          <w:szCs w:val="24"/>
          <w:bdr w:val="none" w:sz="0" w:space="0" w:color="auto" w:frame="1"/>
          <w:lang w:eastAsia="bg-BG"/>
        </w:rPr>
        <w:t xml:space="preserve">засегнатите общини. </w:t>
      </w:r>
      <w:r w:rsidR="009C79CD" w:rsidRPr="00252B6B">
        <w:rPr>
          <w:rFonts w:ascii="Times New Roman" w:hAnsi="Times New Roman"/>
          <w:sz w:val="24"/>
          <w:szCs w:val="24"/>
        </w:rPr>
        <w:t>Национална</w:t>
      </w:r>
      <w:r w:rsidR="000C0F90" w:rsidRPr="00252B6B">
        <w:rPr>
          <w:rFonts w:ascii="Times New Roman" w:hAnsi="Times New Roman"/>
          <w:sz w:val="24"/>
          <w:szCs w:val="24"/>
        </w:rPr>
        <w:t>та</w:t>
      </w:r>
      <w:r w:rsidR="009C79CD" w:rsidRPr="00252B6B">
        <w:rPr>
          <w:rFonts w:ascii="Times New Roman" w:hAnsi="Times New Roman"/>
          <w:sz w:val="24"/>
          <w:szCs w:val="24"/>
        </w:rPr>
        <w:t xml:space="preserve"> програма за подобряване на качеството на атмосферния въздух</w:t>
      </w:r>
      <w:r w:rsidR="000C0F90" w:rsidRPr="00252B6B">
        <w:rPr>
          <w:rFonts w:ascii="Times New Roman" w:hAnsi="Times New Roman"/>
          <w:sz w:val="24"/>
          <w:szCs w:val="24"/>
        </w:rPr>
        <w:t xml:space="preserve"> 2018 – 2024г.</w:t>
      </w:r>
      <w:r w:rsidR="009C79CD" w:rsidRPr="00252B6B">
        <w:rPr>
          <w:rFonts w:ascii="Times New Roman" w:hAnsi="Times New Roman"/>
          <w:sz w:val="24"/>
          <w:szCs w:val="24"/>
        </w:rPr>
        <w:t xml:space="preserve"> </w:t>
      </w:r>
      <w:r w:rsidR="009C79CD" w:rsidRPr="001D03BC">
        <w:rPr>
          <w:rFonts w:ascii="Times New Roman" w:hAnsi="Times New Roman"/>
          <w:bCs/>
          <w:sz w:val="24"/>
          <w:szCs w:val="24"/>
        </w:rPr>
        <w:t xml:space="preserve">не води до изземване на компетенции и </w:t>
      </w:r>
      <w:r w:rsidR="00730DE4" w:rsidRPr="001D03BC">
        <w:rPr>
          <w:rFonts w:ascii="Times New Roman" w:hAnsi="Times New Roman"/>
          <w:bCs/>
          <w:sz w:val="24"/>
          <w:szCs w:val="24"/>
        </w:rPr>
        <w:t xml:space="preserve">поемане на </w:t>
      </w:r>
      <w:r w:rsidR="009C79CD" w:rsidRPr="001D03BC">
        <w:rPr>
          <w:rFonts w:ascii="Times New Roman" w:hAnsi="Times New Roman"/>
          <w:bCs/>
          <w:sz w:val="24"/>
          <w:szCs w:val="24"/>
        </w:rPr>
        <w:t>задължения на местните власти от страна на държавата,</w:t>
      </w:r>
      <w:r w:rsidR="009C79CD" w:rsidRPr="00252B6B">
        <w:rPr>
          <w:rFonts w:ascii="Times New Roman" w:hAnsi="Times New Roman"/>
          <w:bCs/>
          <w:sz w:val="24"/>
          <w:szCs w:val="24"/>
        </w:rPr>
        <w:t xml:space="preserve"> а предлага прилагането на политики и мерки на национално ниво, </w:t>
      </w:r>
      <w:r w:rsidR="002D7472">
        <w:rPr>
          <w:rFonts w:ascii="Times New Roman" w:hAnsi="Times New Roman"/>
          <w:bCs/>
          <w:sz w:val="24"/>
          <w:szCs w:val="24"/>
        </w:rPr>
        <w:t xml:space="preserve">за </w:t>
      </w:r>
      <w:r w:rsidR="009C79CD" w:rsidRPr="00252B6B">
        <w:rPr>
          <w:rFonts w:ascii="Times New Roman" w:hAnsi="Times New Roman"/>
          <w:bCs/>
          <w:sz w:val="24"/>
          <w:szCs w:val="24"/>
        </w:rPr>
        <w:t xml:space="preserve">които </w:t>
      </w:r>
      <w:r w:rsidR="002D7472">
        <w:rPr>
          <w:rFonts w:ascii="Times New Roman" w:hAnsi="Times New Roman"/>
          <w:bCs/>
          <w:sz w:val="24"/>
          <w:szCs w:val="24"/>
        </w:rPr>
        <w:t xml:space="preserve">е установено, че </w:t>
      </w:r>
      <w:r w:rsidR="009C79CD" w:rsidRPr="00252B6B">
        <w:rPr>
          <w:rFonts w:ascii="Times New Roman" w:hAnsi="Times New Roman"/>
          <w:bCs/>
          <w:sz w:val="24"/>
          <w:szCs w:val="24"/>
        </w:rPr>
        <w:t>общинските власти</w:t>
      </w:r>
      <w:r w:rsidR="002D7472">
        <w:rPr>
          <w:rFonts w:ascii="Times New Roman" w:hAnsi="Times New Roman"/>
          <w:bCs/>
          <w:sz w:val="24"/>
          <w:szCs w:val="24"/>
        </w:rPr>
        <w:t>,</w:t>
      </w:r>
      <w:r w:rsidR="009C79CD" w:rsidRPr="00252B6B">
        <w:rPr>
          <w:rFonts w:ascii="Times New Roman" w:hAnsi="Times New Roman"/>
          <w:bCs/>
          <w:sz w:val="24"/>
          <w:szCs w:val="24"/>
        </w:rPr>
        <w:t xml:space="preserve"> </w:t>
      </w:r>
      <w:r w:rsidR="002D7472">
        <w:rPr>
          <w:rFonts w:ascii="Times New Roman" w:hAnsi="Times New Roman"/>
          <w:bCs/>
          <w:sz w:val="24"/>
          <w:szCs w:val="24"/>
        </w:rPr>
        <w:t xml:space="preserve">по различни причини, </w:t>
      </w:r>
      <w:r w:rsidR="009C79CD" w:rsidRPr="00252B6B">
        <w:rPr>
          <w:rFonts w:ascii="Times New Roman" w:hAnsi="Times New Roman"/>
          <w:bCs/>
          <w:sz w:val="24"/>
          <w:szCs w:val="24"/>
        </w:rPr>
        <w:t>не</w:t>
      </w:r>
      <w:r w:rsidR="002D7472">
        <w:rPr>
          <w:rFonts w:ascii="Times New Roman" w:hAnsi="Times New Roman"/>
          <w:bCs/>
          <w:sz w:val="24"/>
          <w:szCs w:val="24"/>
        </w:rPr>
        <w:t xml:space="preserve"> </w:t>
      </w:r>
      <w:r w:rsidR="009C79CD" w:rsidRPr="00252B6B">
        <w:rPr>
          <w:rFonts w:ascii="Times New Roman" w:hAnsi="Times New Roman"/>
          <w:bCs/>
          <w:sz w:val="24"/>
          <w:szCs w:val="24"/>
        </w:rPr>
        <w:t xml:space="preserve">са в състояние да приложат самостоятелно. </w:t>
      </w:r>
    </w:p>
    <w:p w14:paraId="62F2F9FF" w14:textId="77777777" w:rsidR="00A66C44" w:rsidRPr="00252B6B" w:rsidRDefault="00A66C44">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1E6D9D01" w14:textId="77777777" w:rsidR="00410BF4" w:rsidRPr="00252B6B" w:rsidRDefault="00584AC8" w:rsidP="0052312D">
      <w:pPr>
        <w:pStyle w:val="Heading1"/>
        <w:spacing w:before="0" w:line="240" w:lineRule="auto"/>
        <w:rPr>
          <w:rFonts w:ascii="Times New Roman" w:hAnsi="Times New Roman"/>
          <w:color w:val="auto"/>
          <w:bdr w:val="none" w:sz="0" w:space="0" w:color="auto" w:frame="1"/>
          <w:lang w:eastAsia="bg-BG"/>
        </w:rPr>
      </w:pPr>
      <w:bookmarkStart w:id="3" w:name="_Toc118121787"/>
      <w:bookmarkStart w:id="4" w:name="_Toc175822508"/>
      <w:r w:rsidRPr="00252B6B">
        <w:rPr>
          <w:rFonts w:ascii="Times New Roman" w:hAnsi="Times New Roman"/>
          <w:color w:val="auto"/>
          <w:bdr w:val="none" w:sz="0" w:space="0" w:color="auto" w:frame="1"/>
          <w:lang w:eastAsia="bg-BG"/>
        </w:rPr>
        <w:t>ОСНОВАНИЕ ЗА РАЗРАБОТВАНЕ НА ОТЧЕТА</w:t>
      </w:r>
      <w:bookmarkEnd w:id="3"/>
      <w:bookmarkEnd w:id="4"/>
    </w:p>
    <w:p w14:paraId="6E2D0262" w14:textId="77777777" w:rsidR="00AD50DD" w:rsidRPr="00252B6B" w:rsidRDefault="00AD50DD" w:rsidP="00301875">
      <w:pPr>
        <w:spacing w:after="0" w:line="240" w:lineRule="auto"/>
        <w:jc w:val="both"/>
        <w:rPr>
          <w:rFonts w:ascii="Times New Roman" w:eastAsia="Times New Roman" w:hAnsi="Times New Roman"/>
          <w:bCs/>
          <w:sz w:val="24"/>
          <w:szCs w:val="24"/>
          <w:bdr w:val="none" w:sz="0" w:space="0" w:color="auto" w:frame="1"/>
          <w:lang w:eastAsia="bg-BG"/>
        </w:rPr>
      </w:pPr>
    </w:p>
    <w:p w14:paraId="4FC14D55" w14:textId="77777777" w:rsidR="004A16D1" w:rsidRPr="00C54642" w:rsidRDefault="004A16D1" w:rsidP="004A16D1">
      <w:pPr>
        <w:spacing w:after="0" w:line="240" w:lineRule="auto"/>
        <w:ind w:firstLine="720"/>
        <w:jc w:val="both"/>
        <w:rPr>
          <w:rFonts w:ascii="Times New Roman" w:eastAsia="Times New Roman" w:hAnsi="Times New Roman"/>
          <w:bCs/>
          <w:sz w:val="24"/>
          <w:szCs w:val="24"/>
          <w:bdr w:val="none" w:sz="0" w:space="0" w:color="auto" w:frame="1"/>
          <w:lang w:eastAsia="bg-BG"/>
        </w:rPr>
      </w:pPr>
      <w:r w:rsidRPr="00C54642">
        <w:rPr>
          <w:rFonts w:ascii="Times New Roman" w:eastAsia="Times New Roman" w:hAnsi="Times New Roman"/>
          <w:bCs/>
          <w:sz w:val="24"/>
          <w:szCs w:val="24"/>
          <w:bdr w:val="none" w:sz="0" w:space="0" w:color="auto" w:frame="1"/>
          <w:lang w:eastAsia="bg-BG"/>
        </w:rPr>
        <w:t xml:space="preserve">Съгласно изискванията на чл.27а, ал.4 от </w:t>
      </w:r>
      <w:r w:rsidRPr="00C54642">
        <w:rPr>
          <w:rFonts w:ascii="Times New Roman" w:eastAsia="Times New Roman" w:hAnsi="Times New Roman"/>
          <w:bCs/>
          <w:i/>
          <w:sz w:val="24"/>
          <w:szCs w:val="24"/>
          <w:bdr w:val="none" w:sz="0" w:space="0" w:color="auto" w:frame="1"/>
          <w:lang w:eastAsia="bg-BG"/>
        </w:rPr>
        <w:t>Закона за чистотата на атмосферния въздух</w:t>
      </w:r>
      <w:r w:rsidRPr="00C54642">
        <w:rPr>
          <w:rFonts w:ascii="Times New Roman" w:eastAsia="Times New Roman" w:hAnsi="Times New Roman"/>
          <w:bCs/>
          <w:sz w:val="24"/>
          <w:szCs w:val="24"/>
          <w:bdr w:val="none" w:sz="0" w:space="0" w:color="auto" w:frame="1"/>
          <w:lang w:eastAsia="bg-BG"/>
        </w:rPr>
        <w:t xml:space="preserve">, изпълнението на НППКАВ 2018-2024г. се отчита ежегодно пред Министерския съвет. </w:t>
      </w:r>
    </w:p>
    <w:p w14:paraId="45C086BA" w14:textId="77777777" w:rsidR="004A16D1" w:rsidRPr="00C54642" w:rsidRDefault="004A16D1" w:rsidP="004A16D1">
      <w:pPr>
        <w:spacing w:after="0" w:line="240" w:lineRule="auto"/>
        <w:ind w:firstLine="720"/>
        <w:jc w:val="both"/>
        <w:rPr>
          <w:rFonts w:ascii="Times New Roman" w:eastAsia="Times New Roman" w:hAnsi="Times New Roman"/>
          <w:bCs/>
          <w:sz w:val="24"/>
          <w:szCs w:val="24"/>
          <w:bdr w:val="none" w:sz="0" w:space="0" w:color="auto" w:frame="1"/>
          <w:lang w:eastAsia="bg-BG"/>
        </w:rPr>
      </w:pPr>
      <w:r w:rsidRPr="00C54642">
        <w:rPr>
          <w:rFonts w:ascii="Times New Roman" w:eastAsia="Times New Roman" w:hAnsi="Times New Roman"/>
          <w:bCs/>
          <w:sz w:val="24"/>
          <w:szCs w:val="24"/>
          <w:bdr w:val="none" w:sz="0" w:space="0" w:color="auto" w:frame="1"/>
          <w:lang w:eastAsia="bg-BG"/>
        </w:rPr>
        <w:t>Отчет за изпълнение на мерките за периода 2019 – 2022г. е публикуван на следния интернет адрес:</w:t>
      </w:r>
    </w:p>
    <w:p w14:paraId="05FD670A" w14:textId="03225966" w:rsidR="004A16D1" w:rsidRDefault="00FF7BE4" w:rsidP="003A113A">
      <w:pPr>
        <w:spacing w:after="0" w:line="240" w:lineRule="auto"/>
        <w:jc w:val="both"/>
        <w:rPr>
          <w:rFonts w:ascii="Times New Roman" w:eastAsia="Times New Roman" w:hAnsi="Times New Roman"/>
          <w:bCs/>
          <w:sz w:val="24"/>
          <w:szCs w:val="24"/>
          <w:bdr w:val="none" w:sz="0" w:space="0" w:color="auto" w:frame="1"/>
          <w:lang w:eastAsia="bg-BG"/>
        </w:rPr>
      </w:pPr>
      <w:hyperlink r:id="rId9" w:history="1">
        <w:r w:rsidR="004A16D1" w:rsidRPr="00C54642">
          <w:rPr>
            <w:rStyle w:val="Hyperlink"/>
            <w:rFonts w:ascii="Times New Roman" w:eastAsia="Times New Roman" w:hAnsi="Times New Roman"/>
            <w:bCs/>
            <w:sz w:val="24"/>
            <w:szCs w:val="24"/>
            <w:bdr w:val="none" w:sz="0" w:space="0" w:color="auto" w:frame="1"/>
            <w:lang w:eastAsia="bg-BG"/>
          </w:rPr>
          <w:t>http://www.strategy.bg/StrategicDocuments/View.aspx?lang=bg-BG&amp;Id=1288</w:t>
        </w:r>
      </w:hyperlink>
      <w:r w:rsidR="003A113A" w:rsidRPr="004961EC">
        <w:rPr>
          <w:rFonts w:ascii="Times New Roman" w:eastAsia="Times New Roman" w:hAnsi="Times New Roman"/>
          <w:bCs/>
          <w:sz w:val="24"/>
          <w:szCs w:val="24"/>
          <w:bdr w:val="none" w:sz="0" w:space="0" w:color="auto" w:frame="1"/>
          <w:lang w:eastAsia="bg-BG"/>
        </w:rPr>
        <w:t xml:space="preserve"> </w:t>
      </w:r>
      <w:r w:rsidR="004A16D1" w:rsidRPr="00C54642">
        <w:rPr>
          <w:rFonts w:ascii="Times New Roman" w:eastAsia="Times New Roman" w:hAnsi="Times New Roman"/>
          <w:bCs/>
          <w:sz w:val="24"/>
          <w:szCs w:val="24"/>
          <w:bdr w:val="none" w:sz="0" w:space="0" w:color="auto" w:frame="1"/>
          <w:lang w:eastAsia="bg-BG"/>
        </w:rPr>
        <w:t>.</w:t>
      </w:r>
    </w:p>
    <w:p w14:paraId="65669976" w14:textId="77777777" w:rsidR="004A16D1" w:rsidRDefault="004A16D1" w:rsidP="004A16D1">
      <w:pPr>
        <w:spacing w:after="0" w:line="240" w:lineRule="auto"/>
        <w:ind w:firstLine="720"/>
        <w:jc w:val="both"/>
        <w:rPr>
          <w:rFonts w:ascii="Times New Roman" w:eastAsia="Times New Roman" w:hAnsi="Times New Roman"/>
          <w:bCs/>
          <w:sz w:val="24"/>
          <w:szCs w:val="24"/>
          <w:bdr w:val="none" w:sz="0" w:space="0" w:color="auto" w:frame="1"/>
          <w:lang w:eastAsia="bg-BG"/>
        </w:rPr>
      </w:pPr>
    </w:p>
    <w:p w14:paraId="2C1A31DD" w14:textId="77777777" w:rsidR="004A16D1" w:rsidRDefault="004A16D1" w:rsidP="004A16D1">
      <w:pPr>
        <w:spacing w:after="0" w:line="240" w:lineRule="auto"/>
        <w:ind w:firstLine="720"/>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Отчетъ</w:t>
      </w:r>
      <w:r w:rsidR="007C0BCD">
        <w:rPr>
          <w:rFonts w:ascii="Times New Roman" w:eastAsia="Times New Roman" w:hAnsi="Times New Roman"/>
          <w:bCs/>
          <w:sz w:val="24"/>
          <w:szCs w:val="24"/>
          <w:bdr w:val="none" w:sz="0" w:space="0" w:color="auto" w:frame="1"/>
          <w:lang w:eastAsia="bg-BG"/>
        </w:rPr>
        <w:t>т за 2023г. представя напредъка</w:t>
      </w:r>
      <w:r>
        <w:rPr>
          <w:rFonts w:ascii="Times New Roman" w:eastAsia="Times New Roman" w:hAnsi="Times New Roman"/>
          <w:bCs/>
          <w:sz w:val="24"/>
          <w:szCs w:val="24"/>
          <w:bdr w:val="none" w:sz="0" w:space="0" w:color="auto" w:frame="1"/>
          <w:lang w:eastAsia="bg-BG"/>
        </w:rPr>
        <w:t xml:space="preserve"> в изпълнението на ме</w:t>
      </w:r>
      <w:r w:rsidRPr="003A7A33">
        <w:rPr>
          <w:rFonts w:ascii="Times New Roman" w:eastAsia="Times New Roman" w:hAnsi="Times New Roman"/>
          <w:bCs/>
          <w:sz w:val="24"/>
          <w:szCs w:val="24"/>
          <w:bdr w:val="none" w:sz="0" w:space="0" w:color="auto" w:frame="1"/>
          <w:lang w:eastAsia="bg-BG"/>
        </w:rPr>
        <w:t>рк</w:t>
      </w:r>
      <w:r>
        <w:rPr>
          <w:rFonts w:ascii="Times New Roman" w:eastAsia="Times New Roman" w:hAnsi="Times New Roman"/>
          <w:bCs/>
          <w:sz w:val="24"/>
          <w:szCs w:val="24"/>
          <w:bdr w:val="none" w:sz="0" w:space="0" w:color="auto" w:frame="1"/>
          <w:lang w:eastAsia="bg-BG"/>
        </w:rPr>
        <w:t>ите, предвидени в програмата в секторите битово отопление и транспорт, включително хоризонталните и институционални мерки.</w:t>
      </w:r>
    </w:p>
    <w:p w14:paraId="03F7B7A4" w14:textId="77777777" w:rsidR="00252B6B" w:rsidRDefault="00252B6B" w:rsidP="00184FE0">
      <w:pPr>
        <w:spacing w:after="0" w:line="240" w:lineRule="auto"/>
        <w:ind w:firstLine="720"/>
        <w:jc w:val="both"/>
        <w:rPr>
          <w:rFonts w:ascii="Times New Roman" w:eastAsia="Times New Roman" w:hAnsi="Times New Roman"/>
          <w:bCs/>
          <w:sz w:val="24"/>
          <w:szCs w:val="24"/>
          <w:bdr w:val="none" w:sz="0" w:space="0" w:color="auto" w:frame="1"/>
          <w:lang w:eastAsia="bg-BG"/>
        </w:rPr>
      </w:pPr>
    </w:p>
    <w:p w14:paraId="514CC593" w14:textId="77777777" w:rsidR="00252B6B" w:rsidRPr="00252B6B" w:rsidRDefault="00252B6B">
      <w:pPr>
        <w:spacing w:after="0" w:line="240" w:lineRule="auto"/>
        <w:jc w:val="both"/>
        <w:rPr>
          <w:rFonts w:ascii="Times New Roman" w:eastAsia="Times New Roman" w:hAnsi="Times New Roman"/>
          <w:bCs/>
          <w:sz w:val="24"/>
          <w:szCs w:val="24"/>
          <w:bdr w:val="none" w:sz="0" w:space="0" w:color="auto" w:frame="1"/>
          <w:lang w:eastAsia="bg-BG"/>
        </w:rPr>
      </w:pPr>
    </w:p>
    <w:p w14:paraId="09447EAF" w14:textId="77777777" w:rsidR="00584AC8" w:rsidRDefault="00584AC8" w:rsidP="0052312D">
      <w:pPr>
        <w:pStyle w:val="Heading1"/>
        <w:spacing w:before="0" w:line="240" w:lineRule="auto"/>
        <w:rPr>
          <w:rFonts w:ascii="Times New Roman" w:hAnsi="Times New Roman"/>
          <w:color w:val="auto"/>
          <w:bdr w:val="none" w:sz="0" w:space="0" w:color="auto" w:frame="1"/>
          <w:lang w:eastAsia="bg-BG"/>
        </w:rPr>
      </w:pPr>
      <w:bookmarkStart w:id="5" w:name="_Toc175822509"/>
      <w:bookmarkStart w:id="6" w:name="_Toc118121788"/>
      <w:r w:rsidRPr="00252B6B">
        <w:rPr>
          <w:rFonts w:ascii="Times New Roman" w:hAnsi="Times New Roman"/>
          <w:color w:val="auto"/>
          <w:bdr w:val="none" w:sz="0" w:space="0" w:color="auto" w:frame="1"/>
          <w:lang w:eastAsia="bg-BG"/>
        </w:rPr>
        <w:t>ОТЧЕТ НА ИЗПЪЛНЕНИЕ НА МЕРКИТЕ</w:t>
      </w:r>
      <w:bookmarkEnd w:id="5"/>
      <w:r w:rsidRPr="00252B6B">
        <w:rPr>
          <w:rFonts w:ascii="Times New Roman" w:hAnsi="Times New Roman"/>
          <w:color w:val="auto"/>
          <w:bdr w:val="none" w:sz="0" w:space="0" w:color="auto" w:frame="1"/>
          <w:lang w:eastAsia="bg-BG"/>
        </w:rPr>
        <w:t xml:space="preserve"> </w:t>
      </w:r>
      <w:bookmarkEnd w:id="6"/>
    </w:p>
    <w:p w14:paraId="23BCB0BB" w14:textId="77777777" w:rsidR="00F724F5" w:rsidRPr="00252B6B" w:rsidRDefault="00F724F5" w:rsidP="00301875">
      <w:pPr>
        <w:pStyle w:val="ListParagraph"/>
        <w:tabs>
          <w:tab w:val="left" w:pos="567"/>
        </w:tabs>
        <w:spacing w:after="0" w:line="240" w:lineRule="auto"/>
        <w:ind w:left="567"/>
        <w:jc w:val="both"/>
        <w:rPr>
          <w:rFonts w:ascii="Times New Roman" w:eastAsia="Times New Roman" w:hAnsi="Times New Roman"/>
          <w:b/>
          <w:bCs/>
          <w:sz w:val="24"/>
          <w:szCs w:val="24"/>
          <w:bdr w:val="none" w:sz="0" w:space="0" w:color="auto" w:frame="1"/>
          <w:lang w:eastAsia="bg-BG"/>
        </w:rPr>
      </w:pPr>
    </w:p>
    <w:p w14:paraId="18D4AF68" w14:textId="77777777" w:rsidR="00F724F5" w:rsidRPr="00252B6B" w:rsidRDefault="00F724F5" w:rsidP="0052312D">
      <w:pPr>
        <w:pStyle w:val="Heading2"/>
        <w:spacing w:before="0" w:line="240" w:lineRule="auto"/>
        <w:rPr>
          <w:rFonts w:ascii="Times New Roman" w:hAnsi="Times New Roman"/>
          <w:color w:val="auto"/>
          <w:bdr w:val="none" w:sz="0" w:space="0" w:color="auto" w:frame="1"/>
          <w:lang w:eastAsia="bg-BG"/>
        </w:rPr>
      </w:pPr>
      <w:bookmarkStart w:id="7" w:name="_Toc118121789"/>
      <w:bookmarkStart w:id="8" w:name="_Toc175822510"/>
      <w:r w:rsidRPr="00252B6B">
        <w:rPr>
          <w:rFonts w:ascii="Times New Roman" w:hAnsi="Times New Roman"/>
          <w:color w:val="auto"/>
          <w:bdr w:val="none" w:sz="0" w:space="0" w:color="auto" w:frame="1"/>
          <w:lang w:eastAsia="bg-BG"/>
        </w:rPr>
        <w:t>1.</w:t>
      </w:r>
      <w:r w:rsidRPr="00252B6B">
        <w:rPr>
          <w:rFonts w:ascii="Times New Roman" w:hAnsi="Times New Roman"/>
          <w:color w:val="auto"/>
          <w:bdr w:val="none" w:sz="0" w:space="0" w:color="auto" w:frame="1"/>
          <w:lang w:eastAsia="bg-BG"/>
        </w:rPr>
        <w:tab/>
      </w:r>
      <w:r w:rsidR="00133555">
        <w:rPr>
          <w:rFonts w:ascii="Times New Roman" w:hAnsi="Times New Roman"/>
          <w:color w:val="auto"/>
          <w:bdr w:val="none" w:sz="0" w:space="0" w:color="auto" w:frame="1"/>
          <w:lang w:eastAsia="bg-BG"/>
        </w:rPr>
        <w:t xml:space="preserve">МЕРКИ В </w:t>
      </w:r>
      <w:r w:rsidRPr="00252B6B">
        <w:rPr>
          <w:rFonts w:ascii="Times New Roman" w:hAnsi="Times New Roman"/>
          <w:color w:val="auto"/>
          <w:bdr w:val="none" w:sz="0" w:space="0" w:color="auto" w:frame="1"/>
          <w:lang w:eastAsia="bg-BG"/>
        </w:rPr>
        <w:t>СЕКТОР БИТОВО ОТОПЛЕНИЕ</w:t>
      </w:r>
      <w:bookmarkEnd w:id="7"/>
      <w:bookmarkEnd w:id="8"/>
    </w:p>
    <w:p w14:paraId="3259E879" w14:textId="77777777" w:rsidR="00036B48" w:rsidRPr="00252B6B" w:rsidRDefault="00036B48" w:rsidP="00301875">
      <w:pPr>
        <w:pStyle w:val="ListParagraph"/>
        <w:tabs>
          <w:tab w:val="left" w:pos="1134"/>
        </w:tabs>
        <w:spacing w:after="0" w:line="240" w:lineRule="auto"/>
        <w:ind w:left="1080"/>
        <w:jc w:val="both"/>
        <w:rPr>
          <w:rFonts w:ascii="Times New Roman" w:eastAsia="Times New Roman" w:hAnsi="Times New Roman"/>
          <w:b/>
          <w:bCs/>
          <w:sz w:val="24"/>
          <w:szCs w:val="24"/>
          <w:bdr w:val="none" w:sz="0" w:space="0" w:color="auto" w:frame="1"/>
          <w:lang w:eastAsia="bg-BG"/>
        </w:rPr>
      </w:pPr>
    </w:p>
    <w:p w14:paraId="3E382C92" w14:textId="77777777" w:rsidR="00BA39ED" w:rsidRPr="00252B6B" w:rsidRDefault="00BA39ED" w:rsidP="00BA39ED">
      <w:pPr>
        <w:spacing w:after="0" w:line="240" w:lineRule="auto"/>
        <w:ind w:firstLine="1134"/>
        <w:jc w:val="both"/>
        <w:rPr>
          <w:rFonts w:ascii="Times New Roman" w:hAnsi="Times New Roman"/>
          <w:bCs/>
          <w:sz w:val="24"/>
          <w:szCs w:val="24"/>
        </w:rPr>
      </w:pPr>
      <w:r w:rsidRPr="00252B6B">
        <w:rPr>
          <w:rFonts w:ascii="Times New Roman" w:hAnsi="Times New Roman"/>
          <w:bCs/>
          <w:sz w:val="24"/>
          <w:szCs w:val="24"/>
        </w:rPr>
        <w:t>Мерките, които са предложени</w:t>
      </w:r>
      <w:r w:rsidR="00DA0609">
        <w:rPr>
          <w:rFonts w:ascii="Times New Roman" w:hAnsi="Times New Roman"/>
          <w:bCs/>
          <w:sz w:val="24"/>
          <w:szCs w:val="24"/>
        </w:rPr>
        <w:t xml:space="preserve"> в НППКАВ</w:t>
      </w:r>
      <w:r w:rsidRPr="00252B6B">
        <w:rPr>
          <w:rFonts w:ascii="Times New Roman" w:hAnsi="Times New Roman"/>
          <w:bCs/>
          <w:sz w:val="24"/>
          <w:szCs w:val="24"/>
        </w:rPr>
        <w:t>, са насочени най-вече към промяна на начина за битово отопление чрез:</w:t>
      </w:r>
    </w:p>
    <w:p w14:paraId="0C12A2E0" w14:textId="77777777" w:rsidR="00BA39ED" w:rsidRPr="00252B6B" w:rsidRDefault="00BA39ED" w:rsidP="00BA39ED">
      <w:pPr>
        <w:pStyle w:val="ListParagraph"/>
        <w:numPr>
          <w:ilvl w:val="0"/>
          <w:numId w:val="2"/>
        </w:numPr>
        <w:spacing w:after="0" w:line="240" w:lineRule="auto"/>
        <w:ind w:left="0" w:firstLine="1134"/>
        <w:jc w:val="both"/>
        <w:rPr>
          <w:rFonts w:ascii="Times New Roman" w:hAnsi="Times New Roman"/>
          <w:bCs/>
          <w:sz w:val="24"/>
          <w:szCs w:val="24"/>
        </w:rPr>
      </w:pPr>
      <w:r w:rsidRPr="00252B6B">
        <w:rPr>
          <w:rFonts w:ascii="Times New Roman" w:hAnsi="Times New Roman"/>
          <w:bCs/>
          <w:sz w:val="24"/>
          <w:szCs w:val="24"/>
        </w:rPr>
        <w:t>По-ранно въвеждане в сила</w:t>
      </w:r>
      <w:r w:rsidR="00DA0609">
        <w:rPr>
          <w:rFonts w:ascii="Times New Roman" w:hAnsi="Times New Roman"/>
          <w:bCs/>
          <w:sz w:val="24"/>
          <w:szCs w:val="24"/>
        </w:rPr>
        <w:t>,</w:t>
      </w:r>
      <w:r w:rsidRPr="00252B6B">
        <w:rPr>
          <w:rFonts w:ascii="Times New Roman" w:hAnsi="Times New Roman"/>
          <w:bCs/>
          <w:sz w:val="24"/>
          <w:szCs w:val="24"/>
        </w:rPr>
        <w:t xml:space="preserve"> от 1 януари 2020г.</w:t>
      </w:r>
      <w:r w:rsidR="00DA0609">
        <w:rPr>
          <w:rFonts w:ascii="Times New Roman" w:hAnsi="Times New Roman"/>
          <w:bCs/>
          <w:sz w:val="24"/>
          <w:szCs w:val="24"/>
        </w:rPr>
        <w:t>,</w:t>
      </w:r>
      <w:r w:rsidRPr="00252B6B">
        <w:rPr>
          <w:rFonts w:ascii="Times New Roman" w:hAnsi="Times New Roman"/>
          <w:bCs/>
          <w:sz w:val="24"/>
          <w:szCs w:val="24"/>
        </w:rPr>
        <w:t xml:space="preserve"> на изискванията на Регламент за </w:t>
      </w:r>
      <w:r w:rsidRPr="00252B6B">
        <w:rPr>
          <w:rFonts w:ascii="Times New Roman" w:hAnsi="Times New Roman"/>
          <w:bCs/>
          <w:sz w:val="24"/>
        </w:rPr>
        <w:t xml:space="preserve">2015/1185 за битовите отоплителни уреди на твърдо гориво </w:t>
      </w:r>
      <w:r>
        <w:rPr>
          <w:rFonts w:ascii="Times New Roman" w:hAnsi="Times New Roman"/>
          <w:bCs/>
          <w:sz w:val="24"/>
        </w:rPr>
        <w:t xml:space="preserve">към </w:t>
      </w:r>
      <w:r w:rsidRPr="00BA39ED">
        <w:rPr>
          <w:rFonts w:ascii="Times New Roman" w:hAnsi="Times New Roman"/>
          <w:bCs/>
          <w:sz w:val="24"/>
        </w:rPr>
        <w:t xml:space="preserve">Директива 2009/125/ЕО на Европейския парламент и на Съвета от 21 октомври 2009г. за създаване на рамка за определяне на изискванията за </w:t>
      </w:r>
      <w:proofErr w:type="spellStart"/>
      <w:r w:rsidRPr="00BA39ED">
        <w:rPr>
          <w:rFonts w:ascii="Times New Roman" w:hAnsi="Times New Roman"/>
          <w:bCs/>
          <w:sz w:val="24"/>
        </w:rPr>
        <w:t>екодизайн</w:t>
      </w:r>
      <w:proofErr w:type="spellEnd"/>
      <w:r w:rsidRPr="00BA39ED">
        <w:rPr>
          <w:rFonts w:ascii="Times New Roman" w:hAnsi="Times New Roman"/>
          <w:bCs/>
          <w:sz w:val="24"/>
        </w:rPr>
        <w:t xml:space="preserve"> към продуктите, свързани с енергопотреблението </w:t>
      </w:r>
      <w:r>
        <w:rPr>
          <w:rFonts w:ascii="Times New Roman" w:hAnsi="Times New Roman"/>
          <w:bCs/>
          <w:sz w:val="24"/>
        </w:rPr>
        <w:t>(</w:t>
      </w:r>
      <w:r w:rsidRPr="00252B6B">
        <w:rPr>
          <w:rFonts w:ascii="Times New Roman" w:hAnsi="Times New Roman"/>
          <w:bCs/>
          <w:sz w:val="24"/>
        </w:rPr>
        <w:t xml:space="preserve">т.н. Директива за </w:t>
      </w:r>
      <w:proofErr w:type="spellStart"/>
      <w:r w:rsidRPr="00252B6B">
        <w:rPr>
          <w:rFonts w:ascii="Times New Roman" w:hAnsi="Times New Roman"/>
          <w:bCs/>
          <w:sz w:val="24"/>
        </w:rPr>
        <w:t>екодизайн</w:t>
      </w:r>
      <w:proofErr w:type="spellEnd"/>
      <w:r w:rsidRPr="00252B6B">
        <w:rPr>
          <w:rFonts w:ascii="Times New Roman" w:hAnsi="Times New Roman"/>
          <w:bCs/>
          <w:sz w:val="24"/>
        </w:rPr>
        <w:t>);</w:t>
      </w:r>
    </w:p>
    <w:p w14:paraId="41FF29F1" w14:textId="77777777" w:rsidR="00BA39ED" w:rsidRPr="00252B6B" w:rsidRDefault="00BA39ED" w:rsidP="00BA39ED">
      <w:pPr>
        <w:pStyle w:val="ListParagraph"/>
        <w:numPr>
          <w:ilvl w:val="0"/>
          <w:numId w:val="2"/>
        </w:numPr>
        <w:tabs>
          <w:tab w:val="left" w:pos="1418"/>
        </w:tabs>
        <w:spacing w:after="0" w:line="240" w:lineRule="auto"/>
        <w:ind w:left="0" w:firstLine="1134"/>
        <w:jc w:val="both"/>
        <w:rPr>
          <w:rFonts w:ascii="Times New Roman" w:hAnsi="Times New Roman"/>
          <w:bCs/>
          <w:sz w:val="24"/>
        </w:rPr>
      </w:pPr>
      <w:r w:rsidRPr="00252B6B">
        <w:rPr>
          <w:rFonts w:ascii="Times New Roman" w:hAnsi="Times New Roman"/>
          <w:bCs/>
          <w:sz w:val="24"/>
        </w:rPr>
        <w:t>Въвеждане на изисквания за качеството на въглищата и брикетите за битово отопление;</w:t>
      </w:r>
    </w:p>
    <w:p w14:paraId="74F8CFB9" w14:textId="77777777" w:rsidR="00BA39ED" w:rsidRPr="00252B6B" w:rsidRDefault="00BA39ED" w:rsidP="00BA39ED">
      <w:pPr>
        <w:pStyle w:val="ListParagraph"/>
        <w:numPr>
          <w:ilvl w:val="0"/>
          <w:numId w:val="2"/>
        </w:numPr>
        <w:tabs>
          <w:tab w:val="left" w:pos="1418"/>
        </w:tabs>
        <w:spacing w:after="0" w:line="240" w:lineRule="auto"/>
        <w:ind w:left="0" w:firstLine="1134"/>
        <w:jc w:val="both"/>
        <w:rPr>
          <w:rFonts w:ascii="Times New Roman" w:hAnsi="Times New Roman"/>
          <w:bCs/>
          <w:sz w:val="24"/>
        </w:rPr>
      </w:pPr>
      <w:r w:rsidRPr="00252B6B">
        <w:rPr>
          <w:rFonts w:ascii="Times New Roman" w:hAnsi="Times New Roman"/>
          <w:bCs/>
          <w:sz w:val="24"/>
        </w:rPr>
        <w:lastRenderedPageBreak/>
        <w:t>Преустановяване на практиката за продажба на дърва за огрев според теглото им;</w:t>
      </w:r>
    </w:p>
    <w:p w14:paraId="0845EFDC" w14:textId="77777777" w:rsidR="00BA39ED" w:rsidRPr="00252B6B" w:rsidRDefault="00BA39ED" w:rsidP="00BA39ED">
      <w:pPr>
        <w:pStyle w:val="ListParagraph"/>
        <w:numPr>
          <w:ilvl w:val="0"/>
          <w:numId w:val="2"/>
        </w:numPr>
        <w:tabs>
          <w:tab w:val="left" w:pos="1418"/>
        </w:tabs>
        <w:spacing w:after="0" w:line="240" w:lineRule="auto"/>
        <w:ind w:left="0" w:firstLine="1134"/>
        <w:jc w:val="both"/>
        <w:rPr>
          <w:rFonts w:ascii="Times New Roman" w:hAnsi="Times New Roman"/>
          <w:bCs/>
          <w:sz w:val="24"/>
        </w:rPr>
      </w:pPr>
      <w:r w:rsidRPr="00252B6B">
        <w:rPr>
          <w:rFonts w:ascii="Times New Roman" w:hAnsi="Times New Roman"/>
          <w:bCs/>
          <w:sz w:val="24"/>
        </w:rPr>
        <w:t>Ограничаване на периода, в който може да се извършва директен добив на дърва за огрев от населението;</w:t>
      </w:r>
    </w:p>
    <w:p w14:paraId="7E0F83F0" w14:textId="77777777" w:rsidR="00BA39ED" w:rsidRPr="00252B6B" w:rsidRDefault="00BA39ED" w:rsidP="00BA39ED">
      <w:pPr>
        <w:pStyle w:val="ListParagraph"/>
        <w:numPr>
          <w:ilvl w:val="0"/>
          <w:numId w:val="2"/>
        </w:numPr>
        <w:tabs>
          <w:tab w:val="left" w:pos="1418"/>
        </w:tabs>
        <w:spacing w:after="0" w:line="240" w:lineRule="auto"/>
        <w:ind w:left="0" w:firstLine="1134"/>
        <w:jc w:val="both"/>
        <w:rPr>
          <w:rFonts w:ascii="Times New Roman" w:hAnsi="Times New Roman"/>
          <w:bCs/>
          <w:sz w:val="24"/>
        </w:rPr>
      </w:pPr>
      <w:r w:rsidRPr="00252B6B">
        <w:rPr>
          <w:rFonts w:ascii="Times New Roman" w:hAnsi="Times New Roman"/>
          <w:bCs/>
          <w:sz w:val="24"/>
        </w:rPr>
        <w:t>Ограничаване на периода за доставка на дърва за огрев от общините и държавните предприятия;</w:t>
      </w:r>
    </w:p>
    <w:p w14:paraId="34459728" w14:textId="77777777" w:rsidR="00BA39ED" w:rsidRPr="00252B6B" w:rsidRDefault="00BA39ED" w:rsidP="00BA39ED">
      <w:pPr>
        <w:pStyle w:val="ListParagraph"/>
        <w:numPr>
          <w:ilvl w:val="0"/>
          <w:numId w:val="2"/>
        </w:numPr>
        <w:tabs>
          <w:tab w:val="left" w:pos="1418"/>
        </w:tabs>
        <w:spacing w:after="0" w:line="240" w:lineRule="auto"/>
        <w:ind w:left="0" w:firstLine="1134"/>
        <w:jc w:val="both"/>
        <w:rPr>
          <w:rFonts w:ascii="Times New Roman" w:hAnsi="Times New Roman"/>
          <w:bCs/>
          <w:sz w:val="24"/>
        </w:rPr>
      </w:pPr>
      <w:r w:rsidRPr="00252B6B">
        <w:rPr>
          <w:rFonts w:ascii="Times New Roman" w:hAnsi="Times New Roman"/>
          <w:bCs/>
          <w:sz w:val="24"/>
        </w:rPr>
        <w:t xml:space="preserve">Промени в </w:t>
      </w:r>
      <w:r w:rsidR="0021426B">
        <w:rPr>
          <w:rFonts w:ascii="Times New Roman" w:hAnsi="Times New Roman"/>
          <w:bCs/>
          <w:sz w:val="24"/>
        </w:rPr>
        <w:t>ЗЧАВ</w:t>
      </w:r>
      <w:r w:rsidRPr="00252B6B">
        <w:rPr>
          <w:rFonts w:ascii="Times New Roman" w:hAnsi="Times New Roman"/>
          <w:bCs/>
          <w:sz w:val="24"/>
        </w:rPr>
        <w:t xml:space="preserve"> с цел разширяване на правомощията на общините по отношение на въвеждането на Зони с ниски емисии;</w:t>
      </w:r>
    </w:p>
    <w:p w14:paraId="6CC4B4DE" w14:textId="77777777" w:rsidR="00BA39ED" w:rsidRPr="00252B6B" w:rsidRDefault="00BA39ED" w:rsidP="00BA39ED">
      <w:pPr>
        <w:pStyle w:val="ListParagraph"/>
        <w:numPr>
          <w:ilvl w:val="0"/>
          <w:numId w:val="2"/>
        </w:numPr>
        <w:tabs>
          <w:tab w:val="left" w:pos="1418"/>
        </w:tabs>
        <w:spacing w:after="0" w:line="240" w:lineRule="auto"/>
        <w:ind w:left="0" w:firstLine="1134"/>
        <w:jc w:val="both"/>
        <w:rPr>
          <w:rFonts w:ascii="Times New Roman" w:hAnsi="Times New Roman"/>
          <w:bCs/>
          <w:sz w:val="24"/>
          <w:szCs w:val="24"/>
        </w:rPr>
      </w:pPr>
      <w:r w:rsidRPr="00252B6B">
        <w:rPr>
          <w:rFonts w:ascii="Times New Roman" w:hAnsi="Times New Roman"/>
          <w:bCs/>
          <w:sz w:val="24"/>
          <w:szCs w:val="24"/>
        </w:rPr>
        <w:t xml:space="preserve">Задължително поетапно извеждане от употреба на печки и котли на твърдо гориво, които не отговарят на изискванията на регламентите за </w:t>
      </w:r>
      <w:proofErr w:type="spellStart"/>
      <w:r w:rsidRPr="00252B6B">
        <w:rPr>
          <w:rFonts w:ascii="Times New Roman" w:hAnsi="Times New Roman"/>
          <w:bCs/>
          <w:sz w:val="24"/>
          <w:szCs w:val="24"/>
        </w:rPr>
        <w:t>екодизайн</w:t>
      </w:r>
      <w:proofErr w:type="spellEnd"/>
      <w:r w:rsidRPr="00252B6B">
        <w:rPr>
          <w:rFonts w:ascii="Times New Roman" w:hAnsi="Times New Roman"/>
          <w:bCs/>
          <w:sz w:val="24"/>
          <w:szCs w:val="24"/>
        </w:rPr>
        <w:t xml:space="preserve"> – подготвителни дейности;</w:t>
      </w:r>
    </w:p>
    <w:p w14:paraId="515B9299" w14:textId="77777777" w:rsidR="00BA39ED" w:rsidRPr="00252B6B" w:rsidRDefault="00BA39ED" w:rsidP="00BA39ED">
      <w:pPr>
        <w:pStyle w:val="ListParagraph"/>
        <w:numPr>
          <w:ilvl w:val="0"/>
          <w:numId w:val="2"/>
        </w:numPr>
        <w:tabs>
          <w:tab w:val="left" w:pos="1418"/>
        </w:tabs>
        <w:spacing w:after="0" w:line="240" w:lineRule="auto"/>
        <w:ind w:left="0" w:firstLine="1134"/>
        <w:jc w:val="both"/>
        <w:rPr>
          <w:rFonts w:ascii="Times New Roman" w:hAnsi="Times New Roman"/>
          <w:bCs/>
          <w:sz w:val="24"/>
          <w:szCs w:val="24"/>
        </w:rPr>
      </w:pPr>
      <w:r w:rsidRPr="00252B6B">
        <w:rPr>
          <w:rFonts w:ascii="Times New Roman" w:hAnsi="Times New Roman"/>
          <w:bCs/>
          <w:sz w:val="24"/>
          <w:szCs w:val="24"/>
        </w:rPr>
        <w:t>Задължително поетапно извеждане от употреба на печки и котли на твърдо гориво в периода 2020-2024г</w:t>
      </w:r>
      <w:r w:rsidR="0021426B">
        <w:rPr>
          <w:rFonts w:ascii="Times New Roman" w:hAnsi="Times New Roman"/>
          <w:bCs/>
          <w:sz w:val="24"/>
          <w:szCs w:val="24"/>
        </w:rPr>
        <w:t>.</w:t>
      </w:r>
      <w:r w:rsidRPr="00252B6B">
        <w:rPr>
          <w:rFonts w:ascii="Times New Roman" w:hAnsi="Times New Roman"/>
          <w:bCs/>
          <w:sz w:val="24"/>
          <w:szCs w:val="24"/>
        </w:rPr>
        <w:t xml:space="preserve"> в общините с нарушено качество на въздуха, които не отговарят на изискванията на регламентите за </w:t>
      </w:r>
      <w:proofErr w:type="spellStart"/>
      <w:r w:rsidRPr="00252B6B">
        <w:rPr>
          <w:rFonts w:ascii="Times New Roman" w:hAnsi="Times New Roman"/>
          <w:bCs/>
          <w:sz w:val="24"/>
          <w:szCs w:val="24"/>
        </w:rPr>
        <w:t>екодизайн</w:t>
      </w:r>
      <w:proofErr w:type="spellEnd"/>
      <w:r w:rsidRPr="00252B6B">
        <w:rPr>
          <w:rFonts w:ascii="Times New Roman" w:hAnsi="Times New Roman"/>
          <w:bCs/>
          <w:sz w:val="24"/>
          <w:szCs w:val="24"/>
        </w:rPr>
        <w:t>, и замяната им с други средства за отопление. Премахване на уредите и:</w:t>
      </w:r>
    </w:p>
    <w:p w14:paraId="4113CB6D" w14:textId="77777777" w:rsidR="00BA39ED" w:rsidRPr="00252B6B" w:rsidRDefault="00BA39ED" w:rsidP="00BA39ED">
      <w:pPr>
        <w:pStyle w:val="ListParagraph"/>
        <w:tabs>
          <w:tab w:val="left" w:pos="1418"/>
        </w:tabs>
        <w:spacing w:after="0" w:line="240" w:lineRule="auto"/>
        <w:ind w:left="0" w:firstLine="1134"/>
        <w:jc w:val="both"/>
        <w:rPr>
          <w:rFonts w:ascii="Times New Roman" w:hAnsi="Times New Roman"/>
          <w:bCs/>
          <w:sz w:val="24"/>
          <w:szCs w:val="24"/>
        </w:rPr>
      </w:pPr>
      <w:r>
        <w:rPr>
          <w:rFonts w:ascii="Times New Roman" w:hAnsi="Times New Roman"/>
          <w:bCs/>
          <w:sz w:val="24"/>
          <w:szCs w:val="24"/>
        </w:rPr>
        <w:t>а</w:t>
      </w:r>
      <w:r w:rsidRPr="00252B6B">
        <w:rPr>
          <w:rFonts w:ascii="Times New Roman" w:hAnsi="Times New Roman"/>
          <w:bCs/>
          <w:sz w:val="24"/>
          <w:szCs w:val="24"/>
        </w:rPr>
        <w:t xml:space="preserve">) Повторно свързване на домакинствата към </w:t>
      </w:r>
      <w:proofErr w:type="spellStart"/>
      <w:r w:rsidRPr="00252B6B">
        <w:rPr>
          <w:rFonts w:ascii="Times New Roman" w:hAnsi="Times New Roman"/>
          <w:bCs/>
          <w:sz w:val="24"/>
          <w:szCs w:val="24"/>
        </w:rPr>
        <w:t>газоразпределителната</w:t>
      </w:r>
      <w:proofErr w:type="spellEnd"/>
      <w:r w:rsidRPr="00252B6B">
        <w:rPr>
          <w:rFonts w:ascii="Times New Roman" w:hAnsi="Times New Roman"/>
          <w:bCs/>
          <w:sz w:val="24"/>
          <w:szCs w:val="24"/>
        </w:rPr>
        <w:t xml:space="preserve"> или топлофикационната мрежа, където е налична или ново свързване, ако е рентабилно или</w:t>
      </w:r>
    </w:p>
    <w:p w14:paraId="2F6FF841" w14:textId="77777777" w:rsidR="00BA39ED" w:rsidRPr="00252B6B" w:rsidRDefault="00BA39ED" w:rsidP="00BA39ED">
      <w:pPr>
        <w:pStyle w:val="ListParagraph"/>
        <w:tabs>
          <w:tab w:val="left" w:pos="1418"/>
        </w:tabs>
        <w:spacing w:after="0" w:line="240" w:lineRule="auto"/>
        <w:ind w:left="1134"/>
        <w:jc w:val="both"/>
        <w:rPr>
          <w:rFonts w:ascii="Times New Roman" w:hAnsi="Times New Roman"/>
          <w:bCs/>
          <w:sz w:val="24"/>
          <w:szCs w:val="24"/>
        </w:rPr>
      </w:pPr>
      <w:r>
        <w:rPr>
          <w:rFonts w:ascii="Times New Roman" w:hAnsi="Times New Roman"/>
          <w:bCs/>
          <w:sz w:val="24"/>
          <w:szCs w:val="24"/>
        </w:rPr>
        <w:t>б</w:t>
      </w:r>
      <w:r w:rsidRPr="00252B6B">
        <w:rPr>
          <w:rFonts w:ascii="Times New Roman" w:hAnsi="Times New Roman"/>
          <w:bCs/>
          <w:sz w:val="24"/>
          <w:szCs w:val="24"/>
        </w:rPr>
        <w:t xml:space="preserve">) Подмяна на уредите с такива, които отговарят на нормите за </w:t>
      </w:r>
      <w:proofErr w:type="spellStart"/>
      <w:r w:rsidRPr="00252B6B">
        <w:rPr>
          <w:rFonts w:ascii="Times New Roman" w:hAnsi="Times New Roman"/>
          <w:bCs/>
          <w:sz w:val="24"/>
          <w:szCs w:val="24"/>
        </w:rPr>
        <w:t>екодизайн</w:t>
      </w:r>
      <w:proofErr w:type="spellEnd"/>
      <w:r w:rsidRPr="00252B6B">
        <w:rPr>
          <w:rFonts w:ascii="Times New Roman" w:hAnsi="Times New Roman"/>
          <w:bCs/>
          <w:sz w:val="24"/>
          <w:szCs w:val="24"/>
        </w:rPr>
        <w:t>.</w:t>
      </w:r>
    </w:p>
    <w:p w14:paraId="75939F6A" w14:textId="77777777" w:rsidR="00BA39ED" w:rsidRDefault="00BA39ED">
      <w:pPr>
        <w:spacing w:after="0" w:line="240" w:lineRule="auto"/>
        <w:ind w:firstLine="1134"/>
        <w:jc w:val="both"/>
        <w:rPr>
          <w:rFonts w:ascii="Times New Roman" w:hAnsi="Times New Roman"/>
          <w:bCs/>
          <w:sz w:val="24"/>
          <w:szCs w:val="24"/>
        </w:rPr>
      </w:pPr>
    </w:p>
    <w:p w14:paraId="59B8C985" w14:textId="484A4D89" w:rsidR="00C05A20" w:rsidRPr="00D32427" w:rsidRDefault="00BE2B7D">
      <w:pPr>
        <w:pStyle w:val="ListParagraph"/>
        <w:tabs>
          <w:tab w:val="left" w:pos="0"/>
        </w:tabs>
        <w:spacing w:after="0" w:line="240" w:lineRule="auto"/>
        <w:ind w:left="0"/>
        <w:jc w:val="both"/>
        <w:rPr>
          <w:rFonts w:ascii="Times New Roman" w:eastAsia="Times New Roman" w:hAnsi="Times New Roman"/>
          <w:bCs/>
          <w:sz w:val="24"/>
          <w:szCs w:val="24"/>
          <w:bdr w:val="none" w:sz="0" w:space="0" w:color="auto" w:frame="1"/>
          <w:lang w:eastAsia="bg-BG"/>
        </w:rPr>
      </w:pPr>
      <w:r w:rsidRPr="00D32427">
        <w:rPr>
          <w:rFonts w:ascii="Times New Roman" w:eastAsia="Times New Roman" w:hAnsi="Times New Roman"/>
          <w:b/>
          <w:bCs/>
          <w:i/>
          <w:sz w:val="24"/>
          <w:szCs w:val="24"/>
          <w:bdr w:val="none" w:sz="0" w:space="0" w:color="auto" w:frame="1"/>
          <w:lang w:eastAsia="bg-BG"/>
        </w:rPr>
        <w:t>Мярка</w:t>
      </w:r>
      <w:r w:rsidRPr="00D32427">
        <w:rPr>
          <w:rFonts w:ascii="Times New Roman" w:hAnsi="Times New Roman"/>
          <w:b/>
          <w:i/>
          <w:sz w:val="24"/>
          <w:szCs w:val="24"/>
        </w:rPr>
        <w:t>:</w:t>
      </w:r>
      <w:r w:rsidRPr="00D32427">
        <w:rPr>
          <w:rFonts w:ascii="Times New Roman" w:eastAsia="Times New Roman" w:hAnsi="Times New Roman"/>
          <w:b/>
          <w:bCs/>
          <w:sz w:val="24"/>
          <w:szCs w:val="24"/>
          <w:bdr w:val="none" w:sz="0" w:space="0" w:color="auto" w:frame="1"/>
          <w:lang w:eastAsia="bg-BG"/>
        </w:rPr>
        <w:t xml:space="preserve"> Въвеждане на изисквания за качеството на въглища и брикети, използвани за битово отопление</w:t>
      </w:r>
    </w:p>
    <w:p w14:paraId="18458431" w14:textId="77777777" w:rsidR="00247478" w:rsidRDefault="00247478"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42A6F294" w14:textId="11B6436E" w:rsidR="006D67D2" w:rsidRPr="00D32427" w:rsidRDefault="00A77F15"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r w:rsidRPr="00D32427">
        <w:rPr>
          <w:rFonts w:ascii="Times New Roman" w:eastAsia="Times New Roman" w:hAnsi="Times New Roman"/>
          <w:bCs/>
          <w:sz w:val="24"/>
          <w:szCs w:val="24"/>
          <w:bdr w:val="none" w:sz="0" w:space="0" w:color="auto" w:frame="1"/>
          <w:lang w:eastAsia="bg-BG"/>
        </w:rPr>
        <w:t xml:space="preserve">Мярката е законодателна и нормативните изисквания </w:t>
      </w:r>
      <w:r w:rsidR="00E8557B" w:rsidRPr="00D32427">
        <w:rPr>
          <w:rFonts w:ascii="Times New Roman" w:eastAsia="Times New Roman" w:hAnsi="Times New Roman"/>
          <w:bCs/>
          <w:sz w:val="24"/>
          <w:szCs w:val="24"/>
          <w:bdr w:val="none" w:sz="0" w:space="0" w:color="auto" w:frame="1"/>
          <w:lang w:eastAsia="bg-BG"/>
        </w:rPr>
        <w:t xml:space="preserve">са вече </w:t>
      </w:r>
      <w:r w:rsidRPr="00D32427">
        <w:rPr>
          <w:rFonts w:ascii="Times New Roman" w:eastAsia="Times New Roman" w:hAnsi="Times New Roman"/>
          <w:bCs/>
          <w:sz w:val="24"/>
          <w:szCs w:val="24"/>
          <w:bdr w:val="none" w:sz="0" w:space="0" w:color="auto" w:frame="1"/>
          <w:lang w:eastAsia="bg-BG"/>
        </w:rPr>
        <w:t>въведени</w:t>
      </w:r>
      <w:r w:rsidR="00E8557B" w:rsidRPr="00D32427">
        <w:rPr>
          <w:rFonts w:ascii="Times New Roman" w:eastAsia="Times New Roman" w:hAnsi="Times New Roman"/>
          <w:bCs/>
          <w:sz w:val="24"/>
          <w:szCs w:val="24"/>
          <w:bdr w:val="none" w:sz="0" w:space="0" w:color="auto" w:frame="1"/>
          <w:lang w:eastAsia="bg-BG"/>
        </w:rPr>
        <w:t xml:space="preserve">. </w:t>
      </w:r>
      <w:r w:rsidRPr="00D32427">
        <w:rPr>
          <w:rFonts w:ascii="Times New Roman" w:eastAsia="Times New Roman" w:hAnsi="Times New Roman"/>
          <w:bCs/>
          <w:sz w:val="24"/>
          <w:szCs w:val="24"/>
          <w:bdr w:val="none" w:sz="0" w:space="0" w:color="auto" w:frame="1"/>
          <w:lang w:eastAsia="bg-BG"/>
        </w:rPr>
        <w:t xml:space="preserve">Същевременно тя има </w:t>
      </w:r>
      <w:r w:rsidR="00E8557B" w:rsidRPr="00D32427">
        <w:rPr>
          <w:rFonts w:ascii="Times New Roman" w:eastAsia="Times New Roman" w:hAnsi="Times New Roman"/>
          <w:bCs/>
          <w:sz w:val="24"/>
          <w:szCs w:val="24"/>
          <w:bdr w:val="none" w:sz="0" w:space="0" w:color="auto" w:frame="1"/>
          <w:lang w:eastAsia="bg-BG"/>
        </w:rPr>
        <w:t xml:space="preserve">продължаващо </w:t>
      </w:r>
      <w:r w:rsidR="00091181" w:rsidRPr="00D32427">
        <w:rPr>
          <w:rFonts w:ascii="Times New Roman" w:eastAsia="Times New Roman" w:hAnsi="Times New Roman"/>
          <w:bCs/>
          <w:sz w:val="24"/>
          <w:szCs w:val="24"/>
          <w:bdr w:val="none" w:sz="0" w:space="0" w:color="auto" w:frame="1"/>
          <w:lang w:eastAsia="bg-BG"/>
        </w:rPr>
        <w:t>изпълн</w:t>
      </w:r>
      <w:r w:rsidR="00E8557B" w:rsidRPr="00D32427">
        <w:rPr>
          <w:rFonts w:ascii="Times New Roman" w:eastAsia="Times New Roman" w:hAnsi="Times New Roman"/>
          <w:bCs/>
          <w:sz w:val="24"/>
          <w:szCs w:val="24"/>
          <w:bdr w:val="none" w:sz="0" w:space="0" w:color="auto" w:frame="1"/>
          <w:lang w:eastAsia="bg-BG"/>
        </w:rPr>
        <w:t>ение</w:t>
      </w:r>
      <w:r w:rsidR="00091181" w:rsidRPr="00D32427">
        <w:rPr>
          <w:rFonts w:ascii="Times New Roman" w:eastAsia="Times New Roman" w:hAnsi="Times New Roman"/>
          <w:bCs/>
          <w:sz w:val="24"/>
          <w:szCs w:val="24"/>
          <w:bdr w:val="none" w:sz="0" w:space="0" w:color="auto" w:frame="1"/>
          <w:lang w:eastAsia="bg-BG"/>
        </w:rPr>
        <w:t xml:space="preserve"> чрез прилагане на изискванията на </w:t>
      </w:r>
      <w:r w:rsidR="00D126EE" w:rsidRPr="00D32427">
        <w:rPr>
          <w:rFonts w:ascii="Times New Roman" w:eastAsia="Times New Roman" w:hAnsi="Times New Roman"/>
          <w:bCs/>
          <w:i/>
          <w:sz w:val="24"/>
          <w:szCs w:val="24"/>
          <w:bdr w:val="none" w:sz="0" w:space="0" w:color="auto" w:frame="1"/>
          <w:lang w:eastAsia="bg-BG"/>
        </w:rPr>
        <w:t>Наредба</w:t>
      </w:r>
      <w:r w:rsidRPr="00D32427">
        <w:rPr>
          <w:rFonts w:ascii="Times New Roman" w:eastAsia="Times New Roman" w:hAnsi="Times New Roman"/>
          <w:bCs/>
          <w:i/>
          <w:sz w:val="24"/>
          <w:szCs w:val="24"/>
          <w:bdr w:val="none" w:sz="0" w:space="0" w:color="auto" w:frame="1"/>
          <w:lang w:eastAsia="bg-BG"/>
        </w:rPr>
        <w:t>та</w:t>
      </w:r>
      <w:r w:rsidR="00D126EE" w:rsidRPr="00D32427">
        <w:rPr>
          <w:rFonts w:ascii="Times New Roman" w:eastAsia="Times New Roman" w:hAnsi="Times New Roman"/>
          <w:bCs/>
          <w:i/>
          <w:sz w:val="24"/>
          <w:szCs w:val="24"/>
          <w:bdr w:val="none" w:sz="0" w:space="0" w:color="auto" w:frame="1"/>
          <w:lang w:eastAsia="bg-BG"/>
        </w:rPr>
        <w:t xml:space="preserve"> за изискванията за качеството на твърдите горива, използвани за битово отопление, условията, реда и начина за техния контрол</w:t>
      </w:r>
      <w:r w:rsidRPr="00D32427">
        <w:rPr>
          <w:rFonts w:ascii="Times New Roman" w:eastAsia="Times New Roman" w:hAnsi="Times New Roman"/>
          <w:bCs/>
          <w:sz w:val="24"/>
          <w:szCs w:val="24"/>
          <w:bdr w:val="none" w:sz="0" w:space="0" w:color="auto" w:frame="1"/>
          <w:lang w:eastAsia="bg-BG"/>
        </w:rPr>
        <w:t xml:space="preserve">, </w:t>
      </w:r>
      <w:r w:rsidR="009753B9" w:rsidRPr="00D32427">
        <w:rPr>
          <w:rFonts w:ascii="Times New Roman" w:eastAsia="Times New Roman" w:hAnsi="Times New Roman"/>
          <w:bCs/>
          <w:sz w:val="24"/>
          <w:szCs w:val="24"/>
          <w:bdr w:val="none" w:sz="0" w:space="0" w:color="auto" w:frame="1"/>
          <w:lang w:eastAsia="bg-BG"/>
        </w:rPr>
        <w:t xml:space="preserve">което допринася </w:t>
      </w:r>
      <w:r w:rsidR="0017179F" w:rsidRPr="00D32427">
        <w:rPr>
          <w:rFonts w:ascii="Times New Roman" w:eastAsia="Times New Roman" w:hAnsi="Times New Roman"/>
          <w:bCs/>
          <w:sz w:val="24"/>
          <w:szCs w:val="24"/>
          <w:bdr w:val="none" w:sz="0" w:space="0" w:color="auto" w:frame="1"/>
          <w:lang w:eastAsia="bg-BG"/>
        </w:rPr>
        <w:t>за намаляване на емисиите на ФПЧ</w:t>
      </w:r>
      <w:r w:rsidR="0017179F" w:rsidRPr="00D32427">
        <w:rPr>
          <w:rFonts w:ascii="Times New Roman" w:eastAsia="Times New Roman" w:hAnsi="Times New Roman"/>
          <w:bCs/>
          <w:sz w:val="24"/>
          <w:szCs w:val="24"/>
          <w:bdr w:val="none" w:sz="0" w:space="0" w:color="auto" w:frame="1"/>
          <w:vertAlign w:val="subscript"/>
          <w:lang w:eastAsia="bg-BG"/>
        </w:rPr>
        <w:t>10</w:t>
      </w:r>
      <w:r w:rsidR="0017179F" w:rsidRPr="00D32427">
        <w:rPr>
          <w:rFonts w:ascii="Times New Roman" w:eastAsia="Times New Roman" w:hAnsi="Times New Roman"/>
          <w:bCs/>
          <w:sz w:val="24"/>
          <w:szCs w:val="24"/>
          <w:bdr w:val="none" w:sz="0" w:space="0" w:color="auto" w:frame="1"/>
          <w:lang w:eastAsia="bg-BG"/>
        </w:rPr>
        <w:t xml:space="preserve"> чрез въведените изисквания за качество на </w:t>
      </w:r>
      <w:r w:rsidR="00C86318" w:rsidRPr="00D32427">
        <w:rPr>
          <w:rFonts w:ascii="Times New Roman" w:eastAsia="Times New Roman" w:hAnsi="Times New Roman"/>
          <w:bCs/>
          <w:sz w:val="24"/>
          <w:szCs w:val="24"/>
          <w:bdr w:val="none" w:sz="0" w:space="0" w:color="auto" w:frame="1"/>
          <w:lang w:eastAsia="bg-BG"/>
        </w:rPr>
        <w:t>твърдите горива (</w:t>
      </w:r>
      <w:r w:rsidR="0017179F" w:rsidRPr="00D32427">
        <w:rPr>
          <w:rFonts w:ascii="Times New Roman" w:eastAsia="Times New Roman" w:hAnsi="Times New Roman"/>
          <w:bCs/>
          <w:sz w:val="24"/>
          <w:szCs w:val="24"/>
          <w:bdr w:val="none" w:sz="0" w:space="0" w:color="auto" w:frame="1"/>
          <w:lang w:eastAsia="bg-BG"/>
        </w:rPr>
        <w:t>въглищата и брикетите</w:t>
      </w:r>
      <w:r w:rsidR="00C86318" w:rsidRPr="00D32427">
        <w:rPr>
          <w:rFonts w:ascii="Times New Roman" w:eastAsia="Times New Roman" w:hAnsi="Times New Roman"/>
          <w:bCs/>
          <w:sz w:val="24"/>
          <w:szCs w:val="24"/>
          <w:bdr w:val="none" w:sz="0" w:space="0" w:color="auto" w:frame="1"/>
          <w:lang w:eastAsia="bg-BG"/>
        </w:rPr>
        <w:t>), използвани за битово отопление</w:t>
      </w:r>
      <w:r w:rsidR="00D126EE" w:rsidRPr="00D32427">
        <w:rPr>
          <w:rFonts w:ascii="Times New Roman" w:eastAsia="Times New Roman" w:hAnsi="Times New Roman"/>
          <w:bCs/>
          <w:i/>
          <w:sz w:val="24"/>
          <w:szCs w:val="24"/>
          <w:bdr w:val="none" w:sz="0" w:space="0" w:color="auto" w:frame="1"/>
          <w:lang w:eastAsia="bg-BG"/>
        </w:rPr>
        <w:t xml:space="preserve">. </w:t>
      </w:r>
      <w:r w:rsidR="005D526C" w:rsidRPr="00D32427">
        <w:rPr>
          <w:rFonts w:ascii="Times New Roman" w:eastAsia="Times New Roman" w:hAnsi="Times New Roman"/>
          <w:bCs/>
          <w:sz w:val="24"/>
          <w:szCs w:val="24"/>
          <w:bdr w:val="none" w:sz="0" w:space="0" w:color="auto" w:frame="1"/>
          <w:lang w:eastAsia="bg-BG"/>
        </w:rPr>
        <w:t xml:space="preserve">Резултати от </w:t>
      </w:r>
      <w:r w:rsidR="0090346F" w:rsidRPr="00D32427">
        <w:rPr>
          <w:rFonts w:ascii="Times New Roman" w:eastAsia="Times New Roman" w:hAnsi="Times New Roman"/>
          <w:bCs/>
          <w:sz w:val="24"/>
          <w:szCs w:val="24"/>
          <w:bdr w:val="none" w:sz="0" w:space="0" w:color="auto" w:frame="1"/>
          <w:lang w:eastAsia="bg-BG"/>
        </w:rPr>
        <w:t>прилагане</w:t>
      </w:r>
      <w:r w:rsidR="005D526C" w:rsidRPr="00D32427">
        <w:rPr>
          <w:rFonts w:ascii="Times New Roman" w:eastAsia="Times New Roman" w:hAnsi="Times New Roman"/>
          <w:bCs/>
          <w:sz w:val="24"/>
          <w:szCs w:val="24"/>
          <w:bdr w:val="none" w:sz="0" w:space="0" w:color="auto" w:frame="1"/>
          <w:lang w:eastAsia="bg-BG"/>
        </w:rPr>
        <w:t>то през 2023г.</w:t>
      </w:r>
      <w:r w:rsidR="0090346F" w:rsidRPr="00D32427">
        <w:rPr>
          <w:rFonts w:ascii="Times New Roman" w:eastAsia="Times New Roman" w:hAnsi="Times New Roman"/>
          <w:bCs/>
          <w:sz w:val="24"/>
          <w:szCs w:val="24"/>
          <w:bdr w:val="none" w:sz="0" w:space="0" w:color="auto" w:frame="1"/>
          <w:lang w:eastAsia="bg-BG"/>
        </w:rPr>
        <w:t xml:space="preserve"> на </w:t>
      </w:r>
      <w:r w:rsidR="0090346F" w:rsidRPr="00D32427">
        <w:rPr>
          <w:rFonts w:ascii="Times New Roman" w:eastAsia="Times New Roman" w:hAnsi="Times New Roman"/>
          <w:bCs/>
          <w:i/>
          <w:sz w:val="24"/>
          <w:szCs w:val="24"/>
          <w:bdr w:val="none" w:sz="0" w:space="0" w:color="auto" w:frame="1"/>
          <w:lang w:eastAsia="bg-BG"/>
        </w:rPr>
        <w:t xml:space="preserve">Наредбата </w:t>
      </w:r>
      <w:r w:rsidR="005D526C" w:rsidRPr="00D32427">
        <w:rPr>
          <w:rFonts w:ascii="Times New Roman" w:eastAsia="Times New Roman" w:hAnsi="Times New Roman"/>
          <w:bCs/>
          <w:sz w:val="24"/>
          <w:szCs w:val="24"/>
          <w:bdr w:val="none" w:sz="0" w:space="0" w:color="auto" w:frame="1"/>
          <w:lang w:eastAsia="bg-BG"/>
        </w:rPr>
        <w:t>са</w:t>
      </w:r>
      <w:r w:rsidR="0090346F" w:rsidRPr="00D32427">
        <w:rPr>
          <w:rFonts w:ascii="Times New Roman" w:eastAsia="Times New Roman" w:hAnsi="Times New Roman"/>
          <w:bCs/>
          <w:sz w:val="24"/>
          <w:szCs w:val="24"/>
          <w:bdr w:val="none" w:sz="0" w:space="0" w:color="auto" w:frame="1"/>
          <w:lang w:eastAsia="bg-BG"/>
        </w:rPr>
        <w:t xml:space="preserve"> предостав</w:t>
      </w:r>
      <w:r w:rsidR="005D526C" w:rsidRPr="00D32427">
        <w:rPr>
          <w:rFonts w:ascii="Times New Roman" w:eastAsia="Times New Roman" w:hAnsi="Times New Roman"/>
          <w:bCs/>
          <w:sz w:val="24"/>
          <w:szCs w:val="24"/>
          <w:bdr w:val="none" w:sz="0" w:space="0" w:color="auto" w:frame="1"/>
          <w:lang w:eastAsia="bg-BG"/>
        </w:rPr>
        <w:t>ени</w:t>
      </w:r>
      <w:r w:rsidR="0090346F" w:rsidRPr="00D32427">
        <w:rPr>
          <w:rFonts w:ascii="Times New Roman" w:eastAsia="Times New Roman" w:hAnsi="Times New Roman"/>
          <w:bCs/>
          <w:sz w:val="24"/>
          <w:szCs w:val="24"/>
          <w:bdr w:val="none" w:sz="0" w:space="0" w:color="auto" w:frame="1"/>
          <w:lang w:eastAsia="bg-BG"/>
        </w:rPr>
        <w:t xml:space="preserve"> в Годишен отчет</w:t>
      </w:r>
      <w:r w:rsidR="001A3F66" w:rsidRPr="00D32427">
        <w:rPr>
          <w:rStyle w:val="FootnoteReference"/>
          <w:rFonts w:ascii="Times New Roman" w:eastAsia="Times New Roman" w:hAnsi="Times New Roman"/>
          <w:bCs/>
          <w:sz w:val="24"/>
          <w:szCs w:val="24"/>
          <w:bdr w:val="none" w:sz="0" w:space="0" w:color="auto" w:frame="1"/>
          <w:lang w:eastAsia="bg-BG"/>
        </w:rPr>
        <w:footnoteReference w:id="1"/>
      </w:r>
      <w:r w:rsidR="0090346F" w:rsidRPr="00D32427">
        <w:rPr>
          <w:rFonts w:ascii="Times New Roman" w:eastAsia="Times New Roman" w:hAnsi="Times New Roman"/>
          <w:bCs/>
          <w:sz w:val="24"/>
          <w:szCs w:val="24"/>
          <w:bdr w:val="none" w:sz="0" w:space="0" w:color="auto" w:frame="1"/>
          <w:lang w:eastAsia="bg-BG"/>
        </w:rPr>
        <w:t xml:space="preserve"> на </w:t>
      </w:r>
      <w:r w:rsidR="005D526C" w:rsidRPr="00D32427">
        <w:rPr>
          <w:rFonts w:ascii="Times New Roman" w:eastAsia="Times New Roman" w:hAnsi="Times New Roman"/>
          <w:bCs/>
          <w:sz w:val="24"/>
          <w:szCs w:val="24"/>
          <w:bdr w:val="none" w:sz="0" w:space="0" w:color="auto" w:frame="1"/>
          <w:lang w:eastAsia="bg-BG"/>
        </w:rPr>
        <w:t>контролния орган</w:t>
      </w:r>
      <w:r w:rsidR="00635FFD" w:rsidRPr="00D32427">
        <w:rPr>
          <w:rFonts w:ascii="Times New Roman" w:eastAsia="Times New Roman" w:hAnsi="Times New Roman"/>
          <w:bCs/>
          <w:sz w:val="24"/>
          <w:szCs w:val="24"/>
          <w:bdr w:val="none" w:sz="0" w:space="0" w:color="auto" w:frame="1"/>
          <w:lang w:eastAsia="bg-BG"/>
        </w:rPr>
        <w:t xml:space="preserve"> -</w:t>
      </w:r>
      <w:r w:rsidR="005D526C" w:rsidRPr="00D32427">
        <w:rPr>
          <w:rFonts w:ascii="Times New Roman" w:eastAsia="Times New Roman" w:hAnsi="Times New Roman"/>
          <w:bCs/>
          <w:sz w:val="24"/>
          <w:szCs w:val="24"/>
          <w:bdr w:val="none" w:sz="0" w:space="0" w:color="auto" w:frame="1"/>
          <w:lang w:eastAsia="bg-BG"/>
        </w:rPr>
        <w:t xml:space="preserve"> </w:t>
      </w:r>
      <w:r w:rsidR="0090346F" w:rsidRPr="00D32427">
        <w:rPr>
          <w:rFonts w:ascii="Times New Roman" w:eastAsia="Times New Roman" w:hAnsi="Times New Roman"/>
          <w:bCs/>
          <w:sz w:val="24"/>
          <w:szCs w:val="24"/>
          <w:bdr w:val="none" w:sz="0" w:space="0" w:color="auto" w:frame="1"/>
          <w:lang w:eastAsia="bg-BG"/>
        </w:rPr>
        <w:t>Държавната агенция за метрологичен и технически надзор.</w:t>
      </w:r>
    </w:p>
    <w:p w14:paraId="11BA8382" w14:textId="77777777" w:rsidR="00D32427" w:rsidRDefault="00D32427" w:rsidP="00E8557B">
      <w:pPr>
        <w:spacing w:after="0" w:line="240" w:lineRule="auto"/>
        <w:jc w:val="both"/>
        <w:rPr>
          <w:rFonts w:ascii="Times New Roman" w:eastAsia="Times New Roman" w:hAnsi="Times New Roman"/>
          <w:bCs/>
          <w:i/>
          <w:sz w:val="20"/>
          <w:szCs w:val="20"/>
          <w:bdr w:val="none" w:sz="0" w:space="0" w:color="auto" w:frame="1"/>
          <w:lang w:eastAsia="bg-BG"/>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1082"/>
        <w:gridCol w:w="3959"/>
      </w:tblGrid>
      <w:tr w:rsidR="00D32427" w:rsidRPr="00D32427" w14:paraId="704681DF" w14:textId="77777777" w:rsidTr="00834D89">
        <w:tc>
          <w:tcPr>
            <w:tcW w:w="4050" w:type="dxa"/>
          </w:tcPr>
          <w:p w14:paraId="4BB81BD2" w14:textId="77777777" w:rsidR="00D32427" w:rsidRPr="00D32427" w:rsidRDefault="00D32427" w:rsidP="00D32427">
            <w:pPr>
              <w:spacing w:after="0" w:line="240" w:lineRule="auto"/>
              <w:jc w:val="both"/>
              <w:rPr>
                <w:rFonts w:ascii="Times New Roman" w:eastAsia="Times New Roman" w:hAnsi="Times New Roman"/>
                <w:bCs/>
                <w:i/>
                <w:sz w:val="20"/>
                <w:szCs w:val="20"/>
                <w:bdr w:val="none" w:sz="0" w:space="0" w:color="auto" w:frame="1"/>
                <w:lang w:eastAsia="bg-BG"/>
              </w:rPr>
            </w:pPr>
            <w:r w:rsidRPr="00D32427">
              <w:rPr>
                <w:rFonts w:ascii="Times New Roman" w:eastAsia="Times New Roman" w:hAnsi="Times New Roman"/>
                <w:bCs/>
                <w:i/>
                <w:sz w:val="20"/>
                <w:szCs w:val="20"/>
                <w:bdr w:val="none" w:sz="0" w:space="0" w:color="auto" w:frame="1"/>
                <w:lang w:eastAsia="bg-BG"/>
              </w:rPr>
              <w:t xml:space="preserve">Показател за изпълнение определен в Приложение </w:t>
            </w:r>
            <w:r w:rsidRPr="00D32427">
              <w:rPr>
                <w:rFonts w:ascii="Times New Roman" w:eastAsia="Times New Roman" w:hAnsi="Times New Roman"/>
                <w:bCs/>
                <w:i/>
                <w:sz w:val="20"/>
                <w:szCs w:val="20"/>
                <w:bdr w:val="none" w:sz="0" w:space="0" w:color="auto" w:frame="1"/>
                <w:lang w:val="en-US" w:eastAsia="bg-BG"/>
              </w:rPr>
              <w:t xml:space="preserve">XIV – </w:t>
            </w:r>
            <w:r w:rsidRPr="00D32427">
              <w:rPr>
                <w:rFonts w:ascii="Times New Roman" w:eastAsia="Times New Roman" w:hAnsi="Times New Roman"/>
                <w:bCs/>
                <w:i/>
                <w:sz w:val="20"/>
                <w:szCs w:val="20"/>
                <w:bdr w:val="none" w:sz="0" w:space="0" w:color="auto" w:frame="1"/>
                <w:lang w:eastAsia="bg-BG"/>
              </w:rPr>
              <w:t>„План за действие“ към НППКАВ</w:t>
            </w:r>
            <w:r w:rsidRPr="00D32427">
              <w:rPr>
                <w:rFonts w:ascii="Times New Roman" w:eastAsia="Times New Roman" w:hAnsi="Times New Roman"/>
                <w:bCs/>
                <w:i/>
                <w:sz w:val="20"/>
                <w:szCs w:val="20"/>
                <w:bdr w:val="none" w:sz="0" w:space="0" w:color="auto" w:frame="1"/>
                <w:lang w:val="en-US" w:eastAsia="bg-BG"/>
              </w:rPr>
              <w:t>:</w:t>
            </w:r>
          </w:p>
        </w:tc>
        <w:tc>
          <w:tcPr>
            <w:tcW w:w="1080" w:type="dxa"/>
          </w:tcPr>
          <w:p w14:paraId="71102339" w14:textId="77777777" w:rsidR="00D32427" w:rsidRPr="00D32427" w:rsidRDefault="00D32427" w:rsidP="00B00D22">
            <w:pPr>
              <w:spacing w:after="0" w:line="240" w:lineRule="auto"/>
              <w:jc w:val="center"/>
              <w:rPr>
                <w:rFonts w:ascii="Times New Roman" w:eastAsia="Times New Roman" w:hAnsi="Times New Roman"/>
                <w:bCs/>
                <w:i/>
                <w:sz w:val="20"/>
                <w:szCs w:val="20"/>
                <w:bdr w:val="none" w:sz="0" w:space="0" w:color="auto" w:frame="1"/>
                <w:lang w:eastAsia="bg-BG"/>
              </w:rPr>
            </w:pPr>
            <w:r w:rsidRPr="00D32427">
              <w:rPr>
                <w:rFonts w:ascii="Times New Roman" w:eastAsia="Times New Roman" w:hAnsi="Times New Roman"/>
                <w:bCs/>
                <w:i/>
                <w:sz w:val="20"/>
                <w:szCs w:val="20"/>
                <w:bdr w:val="none" w:sz="0" w:space="0" w:color="auto" w:frame="1"/>
                <w:lang w:eastAsia="bg-BG"/>
              </w:rPr>
              <w:t>Целева стойност</w:t>
            </w:r>
          </w:p>
        </w:tc>
        <w:tc>
          <w:tcPr>
            <w:tcW w:w="3960" w:type="dxa"/>
          </w:tcPr>
          <w:p w14:paraId="13243D0B" w14:textId="7F652526" w:rsidR="00D32427" w:rsidRPr="00D32427" w:rsidRDefault="007858FE" w:rsidP="00B00D22">
            <w:pPr>
              <w:spacing w:after="0" w:line="240" w:lineRule="auto"/>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 xml:space="preserve">Към </w:t>
            </w:r>
            <w:r w:rsidR="00D32427" w:rsidRPr="00D32427">
              <w:rPr>
                <w:rFonts w:ascii="Times New Roman" w:eastAsia="Times New Roman" w:hAnsi="Times New Roman"/>
                <w:bCs/>
                <w:i/>
                <w:sz w:val="20"/>
                <w:szCs w:val="20"/>
                <w:bdr w:val="none" w:sz="0" w:space="0" w:color="auto" w:frame="1"/>
                <w:lang w:eastAsia="bg-BG"/>
              </w:rPr>
              <w:t>2023г.</w:t>
            </w:r>
          </w:p>
        </w:tc>
      </w:tr>
      <w:tr w:rsidR="00D32427" w:rsidRPr="004436DF" w14:paraId="455EAD03" w14:textId="77777777" w:rsidTr="00834D89">
        <w:tc>
          <w:tcPr>
            <w:tcW w:w="4050" w:type="dxa"/>
            <w:shd w:val="clear" w:color="auto" w:fill="auto"/>
          </w:tcPr>
          <w:p w14:paraId="5BF12EAA" w14:textId="79FBB611" w:rsidR="00D32427" w:rsidRPr="004436DF" w:rsidRDefault="00D32427" w:rsidP="00D32427">
            <w:pPr>
              <w:spacing w:after="0" w:line="240" w:lineRule="auto"/>
              <w:jc w:val="both"/>
              <w:rPr>
                <w:rFonts w:ascii="Times New Roman" w:eastAsia="Times New Roman" w:hAnsi="Times New Roman"/>
                <w:bCs/>
                <w:sz w:val="20"/>
                <w:szCs w:val="20"/>
                <w:bdr w:val="none" w:sz="0" w:space="0" w:color="auto" w:frame="1"/>
                <w:lang w:eastAsia="bg-BG"/>
              </w:rPr>
            </w:pPr>
            <w:r w:rsidRPr="004436DF">
              <w:rPr>
                <w:rFonts w:ascii="Times New Roman" w:eastAsia="Times New Roman" w:hAnsi="Times New Roman"/>
                <w:bCs/>
                <w:sz w:val="20"/>
                <w:szCs w:val="20"/>
                <w:bdr w:val="none" w:sz="0" w:space="0" w:color="auto" w:frame="1"/>
                <w:lang w:eastAsia="bg-BG"/>
              </w:rPr>
              <w:t>- Приети изменения на ЗЧАВ</w:t>
            </w:r>
          </w:p>
          <w:p w14:paraId="4E9803E7" w14:textId="171FAE66" w:rsidR="00D32427" w:rsidRPr="004436DF" w:rsidRDefault="00D32427" w:rsidP="00D32427">
            <w:pPr>
              <w:spacing w:after="0" w:line="240" w:lineRule="auto"/>
              <w:jc w:val="both"/>
              <w:rPr>
                <w:rFonts w:ascii="Times New Roman" w:eastAsia="Times New Roman" w:hAnsi="Times New Roman"/>
                <w:bCs/>
                <w:sz w:val="20"/>
                <w:szCs w:val="20"/>
                <w:bdr w:val="none" w:sz="0" w:space="0" w:color="auto" w:frame="1"/>
                <w:lang w:eastAsia="bg-BG"/>
              </w:rPr>
            </w:pPr>
            <w:r w:rsidRPr="004436DF">
              <w:rPr>
                <w:rFonts w:ascii="Times New Roman" w:eastAsia="Times New Roman" w:hAnsi="Times New Roman"/>
                <w:bCs/>
                <w:sz w:val="20"/>
                <w:szCs w:val="20"/>
                <w:bdr w:val="none" w:sz="0" w:space="0" w:color="auto" w:frame="1"/>
                <w:lang w:eastAsia="bg-BG"/>
              </w:rPr>
              <w:t>- Приета Наредба с изисквания за качеството на твърдите горива за битово отопление</w:t>
            </w:r>
          </w:p>
          <w:p w14:paraId="38DA8E15" w14:textId="77777777" w:rsidR="00D32427" w:rsidRPr="004436DF" w:rsidRDefault="00D32427" w:rsidP="00D32427">
            <w:pPr>
              <w:spacing w:after="0" w:line="240" w:lineRule="auto"/>
              <w:jc w:val="both"/>
              <w:rPr>
                <w:rFonts w:ascii="Times New Roman" w:eastAsia="Times New Roman" w:hAnsi="Times New Roman"/>
                <w:bCs/>
                <w:sz w:val="20"/>
                <w:szCs w:val="20"/>
                <w:bdr w:val="none" w:sz="0" w:space="0" w:color="auto" w:frame="1"/>
                <w:lang w:eastAsia="bg-BG"/>
              </w:rPr>
            </w:pPr>
            <w:r w:rsidRPr="004436DF">
              <w:rPr>
                <w:rFonts w:ascii="Times New Roman" w:eastAsia="Times New Roman" w:hAnsi="Times New Roman"/>
                <w:bCs/>
                <w:sz w:val="20"/>
                <w:szCs w:val="20"/>
                <w:bdr w:val="none" w:sz="0" w:space="0" w:color="auto" w:frame="1"/>
                <w:lang w:eastAsia="bg-BG"/>
              </w:rPr>
              <w:t>- Изпратено уведомление до ЕК</w:t>
            </w:r>
          </w:p>
        </w:tc>
        <w:tc>
          <w:tcPr>
            <w:tcW w:w="1080" w:type="dxa"/>
          </w:tcPr>
          <w:p w14:paraId="33899B50" w14:textId="77777777" w:rsidR="00D32427" w:rsidRPr="004436DF" w:rsidRDefault="00D32427" w:rsidP="00B00D22">
            <w:pPr>
              <w:spacing w:after="0" w:line="240" w:lineRule="auto"/>
              <w:jc w:val="center"/>
              <w:rPr>
                <w:rFonts w:ascii="Times New Roman" w:eastAsia="Times New Roman" w:hAnsi="Times New Roman"/>
                <w:bCs/>
                <w:sz w:val="20"/>
                <w:szCs w:val="20"/>
                <w:bdr w:val="none" w:sz="0" w:space="0" w:color="auto" w:frame="1"/>
                <w:lang w:eastAsia="bg-BG"/>
              </w:rPr>
            </w:pPr>
            <w:r w:rsidRPr="004436DF">
              <w:rPr>
                <w:rFonts w:ascii="Times New Roman" w:eastAsia="Times New Roman" w:hAnsi="Times New Roman"/>
                <w:bCs/>
                <w:sz w:val="20"/>
                <w:szCs w:val="20"/>
                <w:bdr w:val="none" w:sz="0" w:space="0" w:color="auto" w:frame="1"/>
                <w:lang w:eastAsia="bg-BG"/>
              </w:rPr>
              <w:t>1</w:t>
            </w:r>
          </w:p>
          <w:p w14:paraId="4118242E" w14:textId="77777777" w:rsidR="00D32427" w:rsidRPr="004436DF" w:rsidRDefault="00D32427" w:rsidP="00B00D22">
            <w:pPr>
              <w:spacing w:after="0" w:line="240" w:lineRule="auto"/>
              <w:jc w:val="center"/>
              <w:rPr>
                <w:rFonts w:ascii="Times New Roman" w:eastAsia="Times New Roman" w:hAnsi="Times New Roman"/>
                <w:bCs/>
                <w:sz w:val="20"/>
                <w:szCs w:val="20"/>
                <w:bdr w:val="none" w:sz="0" w:space="0" w:color="auto" w:frame="1"/>
                <w:lang w:eastAsia="bg-BG"/>
              </w:rPr>
            </w:pPr>
            <w:r w:rsidRPr="004436DF">
              <w:rPr>
                <w:rFonts w:ascii="Times New Roman" w:eastAsia="Times New Roman" w:hAnsi="Times New Roman"/>
                <w:bCs/>
                <w:sz w:val="20"/>
                <w:szCs w:val="20"/>
                <w:bdr w:val="none" w:sz="0" w:space="0" w:color="auto" w:frame="1"/>
                <w:lang w:eastAsia="bg-BG"/>
              </w:rPr>
              <w:t>1</w:t>
            </w:r>
          </w:p>
          <w:p w14:paraId="5630C390" w14:textId="77777777" w:rsidR="00D32427" w:rsidRPr="004436DF" w:rsidRDefault="00D32427" w:rsidP="00B00D22">
            <w:pPr>
              <w:spacing w:after="0" w:line="240" w:lineRule="auto"/>
              <w:jc w:val="center"/>
              <w:rPr>
                <w:rFonts w:ascii="Times New Roman" w:eastAsia="Times New Roman" w:hAnsi="Times New Roman"/>
                <w:bCs/>
                <w:sz w:val="20"/>
                <w:szCs w:val="20"/>
                <w:bdr w:val="none" w:sz="0" w:space="0" w:color="auto" w:frame="1"/>
                <w:lang w:eastAsia="bg-BG"/>
              </w:rPr>
            </w:pPr>
          </w:p>
          <w:p w14:paraId="3ECC3C73" w14:textId="77777777" w:rsidR="00D32427" w:rsidRPr="004436DF" w:rsidRDefault="00D32427" w:rsidP="00B00D22">
            <w:pPr>
              <w:spacing w:after="0" w:line="240" w:lineRule="auto"/>
              <w:jc w:val="center"/>
              <w:rPr>
                <w:rFonts w:ascii="Times New Roman" w:eastAsia="Times New Roman" w:hAnsi="Times New Roman"/>
                <w:bCs/>
                <w:sz w:val="20"/>
                <w:szCs w:val="20"/>
                <w:bdr w:val="none" w:sz="0" w:space="0" w:color="auto" w:frame="1"/>
                <w:lang w:eastAsia="bg-BG"/>
              </w:rPr>
            </w:pPr>
            <w:r w:rsidRPr="004436DF">
              <w:rPr>
                <w:rFonts w:ascii="Times New Roman" w:eastAsia="Times New Roman" w:hAnsi="Times New Roman"/>
                <w:bCs/>
                <w:sz w:val="20"/>
                <w:szCs w:val="20"/>
                <w:bdr w:val="none" w:sz="0" w:space="0" w:color="auto" w:frame="1"/>
                <w:lang w:eastAsia="bg-BG"/>
              </w:rPr>
              <w:t>1</w:t>
            </w:r>
          </w:p>
        </w:tc>
        <w:tc>
          <w:tcPr>
            <w:tcW w:w="3960" w:type="dxa"/>
            <w:shd w:val="clear" w:color="auto" w:fill="auto"/>
          </w:tcPr>
          <w:p w14:paraId="3C37D7CD" w14:textId="77777777" w:rsidR="00D32427" w:rsidRPr="004436DF" w:rsidRDefault="00D32427" w:rsidP="00B00D22">
            <w:pPr>
              <w:spacing w:after="0" w:line="240" w:lineRule="auto"/>
              <w:jc w:val="center"/>
              <w:rPr>
                <w:rFonts w:ascii="Times New Roman" w:eastAsia="Times New Roman" w:hAnsi="Times New Roman"/>
                <w:bCs/>
                <w:sz w:val="20"/>
                <w:szCs w:val="20"/>
                <w:bdr w:val="none" w:sz="0" w:space="0" w:color="auto" w:frame="1"/>
                <w:lang w:eastAsia="bg-BG"/>
              </w:rPr>
            </w:pPr>
            <w:r w:rsidRPr="004436DF">
              <w:rPr>
                <w:rFonts w:ascii="Times New Roman" w:eastAsia="Times New Roman" w:hAnsi="Times New Roman"/>
                <w:bCs/>
                <w:sz w:val="20"/>
                <w:szCs w:val="20"/>
                <w:bdr w:val="none" w:sz="0" w:space="0" w:color="auto" w:frame="1"/>
                <w:lang w:eastAsia="bg-BG"/>
              </w:rPr>
              <w:t>Изпълнени</w:t>
            </w:r>
          </w:p>
        </w:tc>
      </w:tr>
    </w:tbl>
    <w:p w14:paraId="41D88CAB" w14:textId="77777777" w:rsidR="00D32427" w:rsidRDefault="00D32427" w:rsidP="00E8557B">
      <w:pPr>
        <w:spacing w:after="0" w:line="240" w:lineRule="auto"/>
        <w:jc w:val="both"/>
        <w:rPr>
          <w:rFonts w:ascii="Times New Roman" w:eastAsia="Times New Roman" w:hAnsi="Times New Roman"/>
          <w:bCs/>
          <w:i/>
          <w:sz w:val="20"/>
          <w:szCs w:val="20"/>
          <w:bdr w:val="none" w:sz="0" w:space="0" w:color="auto" w:frame="1"/>
          <w:lang w:eastAsia="bg-BG"/>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080"/>
        <w:gridCol w:w="4050"/>
      </w:tblGrid>
      <w:tr w:rsidR="00B56CC4" w:rsidRPr="00D32427" w14:paraId="444816E5" w14:textId="77777777" w:rsidTr="00C74DDB">
        <w:tc>
          <w:tcPr>
            <w:tcW w:w="3960" w:type="dxa"/>
          </w:tcPr>
          <w:p w14:paraId="68DAB625" w14:textId="5EC5137A" w:rsidR="00B56CC4" w:rsidRPr="00D32427" w:rsidRDefault="00B56CC4" w:rsidP="00BA5CA3">
            <w:pPr>
              <w:spacing w:after="0" w:line="240" w:lineRule="auto"/>
              <w:ind w:left="-106"/>
              <w:jc w:val="both"/>
              <w:rPr>
                <w:rFonts w:ascii="Times New Roman" w:eastAsia="Times New Roman" w:hAnsi="Times New Roman"/>
                <w:bCs/>
                <w:sz w:val="20"/>
                <w:szCs w:val="20"/>
                <w:bdr w:val="none" w:sz="0" w:space="0" w:color="auto" w:frame="1"/>
                <w:lang w:eastAsia="bg-BG"/>
              </w:rPr>
            </w:pPr>
            <w:r w:rsidRPr="00D32427">
              <w:rPr>
                <w:rFonts w:ascii="Times New Roman" w:eastAsia="Times New Roman" w:hAnsi="Times New Roman"/>
                <w:bCs/>
                <w:i/>
                <w:sz w:val="20"/>
                <w:szCs w:val="20"/>
                <w:bdr w:val="none" w:sz="0" w:space="0" w:color="auto" w:frame="1"/>
                <w:lang w:eastAsia="bg-BG"/>
              </w:rPr>
              <w:t>Показател за резултат</w:t>
            </w:r>
            <w:r w:rsidRPr="00D32427">
              <w:rPr>
                <w:rFonts w:ascii="Times New Roman" w:eastAsia="Times New Roman" w:hAnsi="Times New Roman"/>
                <w:bCs/>
                <w:sz w:val="20"/>
                <w:szCs w:val="20"/>
                <w:bdr w:val="none" w:sz="0" w:space="0" w:color="auto" w:frame="1"/>
                <w:lang w:eastAsia="bg-BG"/>
              </w:rPr>
              <w:t xml:space="preserve"> </w:t>
            </w:r>
            <w:r w:rsidRPr="00D32427">
              <w:rPr>
                <w:rFonts w:ascii="Times New Roman" w:eastAsia="Times New Roman" w:hAnsi="Times New Roman"/>
                <w:bCs/>
                <w:i/>
                <w:sz w:val="20"/>
                <w:szCs w:val="20"/>
                <w:bdr w:val="none" w:sz="0" w:space="0" w:color="auto" w:frame="1"/>
                <w:lang w:eastAsia="bg-BG"/>
              </w:rPr>
              <w:t xml:space="preserve">определен в Приложение </w:t>
            </w:r>
            <w:r w:rsidRPr="00D32427">
              <w:rPr>
                <w:rFonts w:ascii="Times New Roman" w:eastAsia="Times New Roman" w:hAnsi="Times New Roman"/>
                <w:bCs/>
                <w:i/>
                <w:sz w:val="20"/>
                <w:szCs w:val="20"/>
                <w:bdr w:val="none" w:sz="0" w:space="0" w:color="auto" w:frame="1"/>
                <w:lang w:val="en-US" w:eastAsia="bg-BG"/>
              </w:rPr>
              <w:t xml:space="preserve">XIV – </w:t>
            </w:r>
            <w:r w:rsidRPr="00D32427">
              <w:rPr>
                <w:rFonts w:ascii="Times New Roman" w:eastAsia="Times New Roman" w:hAnsi="Times New Roman"/>
                <w:bCs/>
                <w:i/>
                <w:sz w:val="20"/>
                <w:szCs w:val="20"/>
                <w:bdr w:val="none" w:sz="0" w:space="0" w:color="auto" w:frame="1"/>
                <w:lang w:eastAsia="bg-BG"/>
              </w:rPr>
              <w:t>„План за действие“ към НППКАВ</w:t>
            </w:r>
            <w:r w:rsidRPr="00D32427">
              <w:rPr>
                <w:rFonts w:ascii="Times New Roman" w:eastAsia="Times New Roman" w:hAnsi="Times New Roman"/>
                <w:bCs/>
                <w:i/>
                <w:sz w:val="20"/>
                <w:szCs w:val="20"/>
                <w:bdr w:val="none" w:sz="0" w:space="0" w:color="auto" w:frame="1"/>
                <w:lang w:val="en-US" w:eastAsia="bg-BG"/>
              </w:rPr>
              <w:t>:</w:t>
            </w:r>
          </w:p>
        </w:tc>
        <w:tc>
          <w:tcPr>
            <w:tcW w:w="1080" w:type="dxa"/>
          </w:tcPr>
          <w:p w14:paraId="54649976" w14:textId="77777777" w:rsidR="00B56CC4" w:rsidRPr="00D32427" w:rsidRDefault="00B56CC4" w:rsidP="00193AEF">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p>
        </w:tc>
        <w:tc>
          <w:tcPr>
            <w:tcW w:w="4050" w:type="dxa"/>
          </w:tcPr>
          <w:p w14:paraId="298A9377" w14:textId="06CBD2DA" w:rsidR="00B56CC4" w:rsidRPr="00D32427" w:rsidRDefault="00B56CC4" w:rsidP="00193AEF">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D32427">
              <w:rPr>
                <w:rFonts w:ascii="Times New Roman" w:eastAsia="Times New Roman" w:hAnsi="Times New Roman"/>
                <w:bCs/>
                <w:i/>
                <w:sz w:val="20"/>
                <w:szCs w:val="20"/>
                <w:bdr w:val="none" w:sz="0" w:space="0" w:color="auto" w:frame="1"/>
                <w:lang w:eastAsia="bg-BG"/>
              </w:rPr>
              <w:t>2023г.</w:t>
            </w:r>
          </w:p>
        </w:tc>
      </w:tr>
      <w:tr w:rsidR="00BA5CA3" w:rsidRPr="0092702E" w14:paraId="12E66706" w14:textId="77777777" w:rsidTr="00C74DDB">
        <w:tc>
          <w:tcPr>
            <w:tcW w:w="3960" w:type="dxa"/>
          </w:tcPr>
          <w:p w14:paraId="4A325A61" w14:textId="77777777" w:rsidR="00BA5CA3" w:rsidRPr="00D32427" w:rsidRDefault="00BA5CA3"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D32427">
              <w:rPr>
                <w:rFonts w:ascii="Times New Roman" w:eastAsia="Times New Roman" w:hAnsi="Times New Roman"/>
                <w:bCs/>
                <w:sz w:val="20"/>
                <w:szCs w:val="20"/>
                <w:bdr w:val="none" w:sz="0" w:space="0" w:color="auto" w:frame="1"/>
                <w:lang w:eastAsia="bg-BG"/>
              </w:rPr>
              <w:t>Намалени емисии на ФПЧ от битово отопление</w:t>
            </w:r>
          </w:p>
        </w:tc>
        <w:tc>
          <w:tcPr>
            <w:tcW w:w="1080" w:type="dxa"/>
          </w:tcPr>
          <w:p w14:paraId="08C215D5" w14:textId="77777777" w:rsidR="00BA5CA3" w:rsidRPr="00D32427" w:rsidRDefault="00BA5CA3" w:rsidP="00BA5CA3">
            <w:pPr>
              <w:pStyle w:val="ListParagraph"/>
              <w:numPr>
                <w:ilvl w:val="0"/>
                <w:numId w:val="2"/>
              </w:numPr>
              <w:spacing w:after="0" w:line="240" w:lineRule="auto"/>
              <w:ind w:left="-108" w:firstLine="0"/>
              <w:jc w:val="both"/>
              <w:rPr>
                <w:rFonts w:ascii="Times New Roman" w:eastAsia="Times New Roman" w:hAnsi="Times New Roman"/>
                <w:bCs/>
                <w:sz w:val="20"/>
                <w:szCs w:val="20"/>
                <w:bdr w:val="none" w:sz="0" w:space="0" w:color="auto" w:frame="1"/>
                <w:lang w:eastAsia="bg-BG"/>
              </w:rPr>
            </w:pPr>
          </w:p>
        </w:tc>
        <w:tc>
          <w:tcPr>
            <w:tcW w:w="4050" w:type="dxa"/>
          </w:tcPr>
          <w:p w14:paraId="18CC30A6" w14:textId="77777777" w:rsidR="00BA5CA3" w:rsidRPr="00D32427" w:rsidRDefault="00BA5CA3" w:rsidP="00BA5CA3">
            <w:pPr>
              <w:pStyle w:val="ListParagraph"/>
              <w:numPr>
                <w:ilvl w:val="0"/>
                <w:numId w:val="2"/>
              </w:numPr>
              <w:spacing w:after="0" w:line="240" w:lineRule="auto"/>
              <w:ind w:left="-108" w:firstLine="0"/>
              <w:jc w:val="both"/>
              <w:rPr>
                <w:rFonts w:ascii="Times New Roman" w:eastAsia="Times New Roman" w:hAnsi="Times New Roman"/>
                <w:bCs/>
                <w:sz w:val="20"/>
                <w:szCs w:val="20"/>
                <w:bdr w:val="none" w:sz="0" w:space="0" w:color="auto" w:frame="1"/>
                <w:lang w:eastAsia="bg-BG"/>
              </w:rPr>
            </w:pPr>
            <w:r w:rsidRPr="00D32427">
              <w:rPr>
                <w:rFonts w:ascii="Times New Roman" w:eastAsia="Times New Roman" w:hAnsi="Times New Roman"/>
                <w:bCs/>
                <w:sz w:val="20"/>
                <w:szCs w:val="20"/>
                <w:bdr w:val="none" w:sz="0" w:space="0" w:color="auto" w:frame="1"/>
                <w:lang w:eastAsia="bg-BG"/>
              </w:rPr>
              <w:t xml:space="preserve">Предотвратено е разпространението на пазара на 5 900 кг. твърдо гориво за битово отопление - въглища, които не отговарят на изискванията за качество. </w:t>
            </w:r>
          </w:p>
          <w:p w14:paraId="6C73007B" w14:textId="77777777" w:rsidR="00BA5CA3" w:rsidRPr="00D32427" w:rsidRDefault="00BA5CA3" w:rsidP="00BA5CA3">
            <w:pPr>
              <w:pStyle w:val="ListParagraph"/>
              <w:numPr>
                <w:ilvl w:val="0"/>
                <w:numId w:val="2"/>
              </w:numPr>
              <w:spacing w:after="0" w:line="240" w:lineRule="auto"/>
              <w:ind w:left="-108" w:firstLine="0"/>
              <w:jc w:val="both"/>
              <w:rPr>
                <w:rFonts w:ascii="Times New Roman" w:eastAsia="Times New Roman" w:hAnsi="Times New Roman"/>
                <w:bCs/>
                <w:sz w:val="20"/>
                <w:szCs w:val="20"/>
                <w:bdr w:val="none" w:sz="0" w:space="0" w:color="auto" w:frame="1"/>
                <w:lang w:eastAsia="bg-BG"/>
              </w:rPr>
            </w:pPr>
            <w:r w:rsidRPr="00D32427">
              <w:rPr>
                <w:rFonts w:ascii="Times New Roman" w:eastAsia="Times New Roman" w:hAnsi="Times New Roman"/>
                <w:bCs/>
                <w:sz w:val="20"/>
                <w:szCs w:val="20"/>
                <w:bdr w:val="none" w:sz="0" w:space="0" w:color="auto" w:frame="1"/>
                <w:lang w:eastAsia="bg-BG"/>
              </w:rPr>
              <w:t>Осъществен ефективен контрол на лица и обекти, които разпространяват твърди горива за битово отопление без регистрация.</w:t>
            </w:r>
          </w:p>
        </w:tc>
      </w:tr>
    </w:tbl>
    <w:p w14:paraId="0E5F91F0" w14:textId="77777777" w:rsidR="00E8557B" w:rsidRDefault="00E8557B" w:rsidP="00464075">
      <w:pPr>
        <w:spacing w:after="0" w:line="240" w:lineRule="auto"/>
        <w:jc w:val="both"/>
        <w:rPr>
          <w:rFonts w:ascii="Times New Roman" w:eastAsia="Times New Roman" w:hAnsi="Times New Roman"/>
          <w:bCs/>
          <w:sz w:val="24"/>
          <w:szCs w:val="24"/>
          <w:bdr w:val="none" w:sz="0" w:space="0" w:color="auto" w:frame="1"/>
          <w:lang w:eastAsia="bg-BG"/>
        </w:rPr>
      </w:pPr>
    </w:p>
    <w:p w14:paraId="4E521138" w14:textId="77777777" w:rsidR="00D0241B" w:rsidRPr="00252B6B" w:rsidRDefault="00BE2B7D">
      <w:pPr>
        <w:tabs>
          <w:tab w:val="left" w:pos="1418"/>
        </w:tabs>
        <w:spacing w:after="0" w:line="240" w:lineRule="auto"/>
        <w:jc w:val="both"/>
        <w:rPr>
          <w:rFonts w:ascii="Times New Roman" w:hAnsi="Times New Roman"/>
          <w:b/>
          <w:bCs/>
          <w:sz w:val="24"/>
        </w:rPr>
      </w:pPr>
      <w:r w:rsidRPr="00252B6B">
        <w:rPr>
          <w:rFonts w:ascii="Times New Roman" w:eastAsia="Times New Roman" w:hAnsi="Times New Roman"/>
          <w:b/>
          <w:bCs/>
          <w:i/>
          <w:sz w:val="24"/>
          <w:szCs w:val="24"/>
          <w:bdr w:val="none" w:sz="0" w:space="0" w:color="auto" w:frame="1"/>
          <w:lang w:eastAsia="bg-BG"/>
        </w:rPr>
        <w:t>Мярка</w:t>
      </w:r>
      <w:r w:rsidRPr="00252B6B">
        <w:rPr>
          <w:rFonts w:ascii="Times New Roman" w:hAnsi="Times New Roman"/>
          <w:b/>
          <w:i/>
        </w:rPr>
        <w:t>:</w:t>
      </w:r>
      <w:r w:rsidR="00E439D6" w:rsidRPr="00252B6B">
        <w:rPr>
          <w:rFonts w:ascii="Times New Roman" w:eastAsia="Times New Roman" w:hAnsi="Times New Roman"/>
          <w:bCs/>
          <w:sz w:val="24"/>
          <w:szCs w:val="24"/>
          <w:bdr w:val="none" w:sz="0" w:space="0" w:color="auto" w:frame="1"/>
          <w:lang w:eastAsia="bg-BG"/>
        </w:rPr>
        <w:t xml:space="preserve"> </w:t>
      </w:r>
      <w:r w:rsidR="00E439D6" w:rsidRPr="00252B6B">
        <w:rPr>
          <w:rFonts w:ascii="Times New Roman" w:eastAsia="Times New Roman" w:hAnsi="Times New Roman"/>
          <w:b/>
          <w:bCs/>
          <w:sz w:val="24"/>
          <w:szCs w:val="24"/>
          <w:bdr w:val="none" w:sz="0" w:space="0" w:color="auto" w:frame="1"/>
          <w:lang w:eastAsia="bg-BG"/>
        </w:rPr>
        <w:t xml:space="preserve">Въвеждане на организационни мерки по отношение на дървесината, използвана за битово отопление, в т.ч. </w:t>
      </w:r>
      <w:r w:rsidR="00D0241B" w:rsidRPr="00252B6B">
        <w:rPr>
          <w:rFonts w:ascii="Times New Roman" w:hAnsi="Times New Roman"/>
          <w:b/>
          <w:bCs/>
          <w:sz w:val="24"/>
        </w:rPr>
        <w:t>преустановяване на практиката за продажба на дърва за огрев според теглото им;</w:t>
      </w:r>
      <w:r w:rsidR="00D0241B" w:rsidRPr="00252B6B">
        <w:rPr>
          <w:rFonts w:ascii="Times New Roman" w:eastAsia="Times New Roman" w:hAnsi="Times New Roman"/>
          <w:b/>
          <w:bCs/>
          <w:sz w:val="24"/>
          <w:szCs w:val="24"/>
          <w:bdr w:val="none" w:sz="0" w:space="0" w:color="auto" w:frame="1"/>
          <w:lang w:eastAsia="bg-BG"/>
        </w:rPr>
        <w:t xml:space="preserve"> ограничаване на периода, в който може да се </w:t>
      </w:r>
      <w:r w:rsidR="00D0241B" w:rsidRPr="00252B6B">
        <w:rPr>
          <w:rFonts w:ascii="Times New Roman" w:eastAsia="Times New Roman" w:hAnsi="Times New Roman"/>
          <w:b/>
          <w:bCs/>
          <w:sz w:val="24"/>
          <w:szCs w:val="24"/>
          <w:bdr w:val="none" w:sz="0" w:space="0" w:color="auto" w:frame="1"/>
          <w:lang w:eastAsia="bg-BG"/>
        </w:rPr>
        <w:lastRenderedPageBreak/>
        <w:t xml:space="preserve">извърши директен добив </w:t>
      </w:r>
      <w:r w:rsidR="002F4228" w:rsidRPr="00252B6B">
        <w:rPr>
          <w:rFonts w:ascii="Times New Roman" w:eastAsia="Times New Roman" w:hAnsi="Times New Roman"/>
          <w:b/>
          <w:bCs/>
          <w:sz w:val="24"/>
          <w:szCs w:val="24"/>
          <w:bdr w:val="none" w:sz="0" w:space="0" w:color="auto" w:frame="1"/>
          <w:lang w:eastAsia="bg-BG"/>
        </w:rPr>
        <w:t xml:space="preserve">на дърва за огрев от населението </w:t>
      </w:r>
      <w:r w:rsidR="00D0241B" w:rsidRPr="00252B6B">
        <w:rPr>
          <w:rFonts w:ascii="Times New Roman" w:eastAsia="Times New Roman" w:hAnsi="Times New Roman"/>
          <w:b/>
          <w:bCs/>
          <w:sz w:val="24"/>
          <w:szCs w:val="24"/>
          <w:bdr w:val="none" w:sz="0" w:space="0" w:color="auto" w:frame="1"/>
          <w:lang w:eastAsia="bg-BG"/>
        </w:rPr>
        <w:t xml:space="preserve">и ограничаване </w:t>
      </w:r>
      <w:r w:rsidR="002F4228" w:rsidRPr="00252B6B">
        <w:rPr>
          <w:rFonts w:ascii="Times New Roman" w:eastAsia="Times New Roman" w:hAnsi="Times New Roman"/>
          <w:b/>
          <w:bCs/>
          <w:sz w:val="24"/>
          <w:szCs w:val="24"/>
          <w:bdr w:val="none" w:sz="0" w:space="0" w:color="auto" w:frame="1"/>
          <w:lang w:eastAsia="bg-BG"/>
        </w:rPr>
        <w:t xml:space="preserve">на </w:t>
      </w:r>
      <w:r w:rsidR="00D0241B" w:rsidRPr="00252B6B">
        <w:rPr>
          <w:rFonts w:ascii="Times New Roman" w:eastAsia="Times New Roman" w:hAnsi="Times New Roman"/>
          <w:b/>
          <w:bCs/>
          <w:sz w:val="24"/>
          <w:szCs w:val="24"/>
          <w:bdr w:val="none" w:sz="0" w:space="0" w:color="auto" w:frame="1"/>
          <w:lang w:eastAsia="bg-BG"/>
        </w:rPr>
        <w:t xml:space="preserve">периода на доставка </w:t>
      </w:r>
      <w:r w:rsidR="00D0241B" w:rsidRPr="00252B6B">
        <w:rPr>
          <w:rFonts w:ascii="Times New Roman" w:hAnsi="Times New Roman"/>
          <w:b/>
          <w:bCs/>
          <w:sz w:val="24"/>
        </w:rPr>
        <w:t>на дърва за огрев от общините и държавните предприятия</w:t>
      </w:r>
    </w:p>
    <w:p w14:paraId="3D6B8003" w14:textId="77777777" w:rsidR="00271C6B" w:rsidRPr="00252B6B" w:rsidRDefault="00271C6B">
      <w:pPr>
        <w:tabs>
          <w:tab w:val="left" w:pos="1418"/>
        </w:tabs>
        <w:spacing w:after="0" w:line="240" w:lineRule="auto"/>
        <w:jc w:val="both"/>
        <w:rPr>
          <w:rFonts w:ascii="Times New Roman" w:hAnsi="Times New Roman"/>
          <w:bCs/>
          <w:sz w:val="24"/>
        </w:rPr>
      </w:pPr>
    </w:p>
    <w:p w14:paraId="601AD7CB" w14:textId="56A0322E" w:rsidR="00631A38" w:rsidRPr="00631A38" w:rsidRDefault="00120169" w:rsidP="00631A38">
      <w:pPr>
        <w:pStyle w:val="ListParagraph"/>
        <w:tabs>
          <w:tab w:val="left" w:pos="993"/>
        </w:tabs>
        <w:spacing w:after="0" w:line="240" w:lineRule="auto"/>
        <w:ind w:left="0"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Мярката се изпълня</w:t>
      </w:r>
      <w:r w:rsidR="00DF5FC1">
        <w:rPr>
          <w:rFonts w:ascii="Times New Roman" w:eastAsia="Times New Roman" w:hAnsi="Times New Roman"/>
          <w:bCs/>
          <w:sz w:val="24"/>
          <w:szCs w:val="24"/>
          <w:bdr w:val="none" w:sz="0" w:space="0" w:color="auto" w:frame="1"/>
          <w:lang w:eastAsia="bg-BG"/>
        </w:rPr>
        <w:t>ва</w:t>
      </w:r>
      <w:r w:rsidR="00631A38">
        <w:rPr>
          <w:rFonts w:ascii="Times New Roman" w:eastAsia="Times New Roman" w:hAnsi="Times New Roman"/>
          <w:bCs/>
          <w:sz w:val="24"/>
          <w:szCs w:val="24"/>
          <w:bdr w:val="none" w:sz="0" w:space="0" w:color="auto" w:frame="1"/>
          <w:lang w:eastAsia="bg-BG"/>
        </w:rPr>
        <w:t xml:space="preserve">. </w:t>
      </w:r>
    </w:p>
    <w:p w14:paraId="00D56562" w14:textId="77777777" w:rsidR="00D0241B" w:rsidRPr="00252B6B" w:rsidRDefault="008F145B" w:rsidP="00365B4C">
      <w:pPr>
        <w:pStyle w:val="ListParagraph"/>
        <w:numPr>
          <w:ilvl w:val="0"/>
          <w:numId w:val="12"/>
        </w:numPr>
        <w:tabs>
          <w:tab w:val="left" w:pos="993"/>
        </w:tabs>
        <w:spacing w:after="0" w:line="240" w:lineRule="auto"/>
        <w:ind w:left="0" w:firstLine="1134"/>
        <w:jc w:val="both"/>
        <w:rPr>
          <w:rFonts w:ascii="Times New Roman" w:eastAsia="Times New Roman" w:hAnsi="Times New Roman"/>
          <w:b/>
          <w:bCs/>
          <w:sz w:val="24"/>
          <w:szCs w:val="24"/>
          <w:bdr w:val="none" w:sz="0" w:space="0" w:color="auto" w:frame="1"/>
          <w:lang w:eastAsia="bg-BG"/>
        </w:rPr>
      </w:pPr>
      <w:r w:rsidRPr="00252B6B">
        <w:rPr>
          <w:rFonts w:ascii="Times New Roman" w:eastAsia="Times New Roman" w:hAnsi="Times New Roman"/>
          <w:b/>
          <w:bCs/>
          <w:sz w:val="24"/>
          <w:szCs w:val="24"/>
          <w:bdr w:val="none" w:sz="0" w:space="0" w:color="auto" w:frame="1"/>
          <w:lang w:eastAsia="bg-BG"/>
        </w:rPr>
        <w:t>Ограничения за съдържанието на влага</w:t>
      </w:r>
    </w:p>
    <w:p w14:paraId="153099A7" w14:textId="63477027" w:rsidR="007C44E0" w:rsidRPr="00BB05B6" w:rsidRDefault="007C44E0" w:rsidP="00365B4C">
      <w:pPr>
        <w:tabs>
          <w:tab w:val="left" w:pos="1276"/>
        </w:tabs>
        <w:spacing w:after="0" w:line="240" w:lineRule="auto"/>
        <w:ind w:firstLine="1134"/>
        <w:jc w:val="both"/>
        <w:rPr>
          <w:rFonts w:ascii="Times New Roman" w:eastAsia="Times New Roman" w:hAnsi="Times New Roman"/>
          <w:bCs/>
          <w:sz w:val="24"/>
          <w:szCs w:val="24"/>
          <w:bdr w:val="none" w:sz="0" w:space="0" w:color="auto" w:frame="1"/>
          <w:lang w:eastAsia="bg-BG" w:bidi="bg-BG"/>
        </w:rPr>
      </w:pPr>
      <w:r>
        <w:rPr>
          <w:rFonts w:ascii="Times New Roman" w:eastAsia="Times New Roman" w:hAnsi="Times New Roman"/>
          <w:bCs/>
          <w:sz w:val="24"/>
          <w:szCs w:val="24"/>
          <w:bdr w:val="none" w:sz="0" w:space="0" w:color="auto" w:frame="1"/>
          <w:lang w:eastAsia="bg-BG" w:bidi="bg-BG"/>
        </w:rPr>
        <w:t>В изпълнение</w:t>
      </w:r>
      <w:r w:rsidRPr="007C44E0">
        <w:rPr>
          <w:rFonts w:ascii="Times New Roman" w:eastAsia="Times New Roman" w:hAnsi="Times New Roman"/>
          <w:bCs/>
          <w:sz w:val="24"/>
          <w:szCs w:val="24"/>
          <w:bdr w:val="none" w:sz="0" w:space="0" w:color="auto" w:frame="1"/>
          <w:lang w:eastAsia="bg-BG" w:bidi="bg-BG"/>
        </w:rPr>
        <w:t xml:space="preserve"> на разпоредбите на </w:t>
      </w:r>
      <w:r w:rsidRPr="007C44E0">
        <w:rPr>
          <w:rFonts w:ascii="Times New Roman" w:eastAsia="Times New Roman" w:hAnsi="Times New Roman"/>
          <w:bCs/>
          <w:i/>
          <w:sz w:val="24"/>
          <w:szCs w:val="24"/>
          <w:bdr w:val="none" w:sz="0" w:space="0" w:color="auto" w:frame="1"/>
          <w:lang w:eastAsia="bg-BG" w:bidi="bg-BG"/>
        </w:rPr>
        <w:t>Наредба № 6 от 7 октомври 2019г. за изискванията и контрола върху дървесината, която се използва за битово отопление</w:t>
      </w:r>
      <w:r w:rsidRPr="007C44E0">
        <w:rPr>
          <w:rFonts w:ascii="Times New Roman" w:eastAsia="Times New Roman" w:hAnsi="Times New Roman"/>
          <w:bCs/>
          <w:sz w:val="24"/>
          <w:szCs w:val="24"/>
          <w:bdr w:val="none" w:sz="0" w:space="0" w:color="auto" w:frame="1"/>
          <w:lang w:eastAsia="bg-BG" w:bidi="bg-BG"/>
        </w:rPr>
        <w:t xml:space="preserve">, издадена от министъра на земеделието, храните и горите, </w:t>
      </w:r>
      <w:r w:rsidR="006C6B5D">
        <w:rPr>
          <w:rFonts w:ascii="Times New Roman" w:eastAsia="Times New Roman" w:hAnsi="Times New Roman"/>
          <w:bCs/>
          <w:sz w:val="24"/>
          <w:szCs w:val="24"/>
          <w:bdr w:val="none" w:sz="0" w:space="0" w:color="auto" w:frame="1"/>
          <w:lang w:eastAsia="bg-BG" w:bidi="bg-BG"/>
        </w:rPr>
        <w:t xml:space="preserve">които са </w:t>
      </w:r>
      <w:r w:rsidRPr="007C44E0">
        <w:rPr>
          <w:rFonts w:ascii="Times New Roman" w:eastAsia="Times New Roman" w:hAnsi="Times New Roman"/>
          <w:bCs/>
          <w:sz w:val="24"/>
          <w:szCs w:val="24"/>
          <w:bdr w:val="none" w:sz="0" w:space="0" w:color="auto" w:frame="1"/>
          <w:lang w:eastAsia="bg-BG" w:bidi="bg-BG"/>
        </w:rPr>
        <w:t xml:space="preserve">приложими за общини или части от тях, на чиито територии са регистрирани превишения по показател фини </w:t>
      </w:r>
      <w:proofErr w:type="spellStart"/>
      <w:r w:rsidRPr="007C44E0">
        <w:rPr>
          <w:rFonts w:ascii="Times New Roman" w:eastAsia="Times New Roman" w:hAnsi="Times New Roman"/>
          <w:bCs/>
          <w:sz w:val="24"/>
          <w:szCs w:val="24"/>
          <w:bdr w:val="none" w:sz="0" w:space="0" w:color="auto" w:frame="1"/>
          <w:lang w:eastAsia="bg-BG" w:bidi="bg-BG"/>
        </w:rPr>
        <w:t>прахови</w:t>
      </w:r>
      <w:proofErr w:type="spellEnd"/>
      <w:r w:rsidRPr="007C44E0">
        <w:rPr>
          <w:rFonts w:ascii="Times New Roman" w:eastAsia="Times New Roman" w:hAnsi="Times New Roman"/>
          <w:bCs/>
          <w:sz w:val="24"/>
          <w:szCs w:val="24"/>
          <w:bdr w:val="none" w:sz="0" w:space="0" w:color="auto" w:frame="1"/>
          <w:lang w:eastAsia="bg-BG" w:bidi="bg-BG"/>
        </w:rPr>
        <w:t xml:space="preserve"> частици, </w:t>
      </w:r>
      <w:r w:rsidR="006C6B5D">
        <w:rPr>
          <w:rFonts w:ascii="Times New Roman" w:eastAsia="Times New Roman" w:hAnsi="Times New Roman"/>
          <w:bCs/>
          <w:sz w:val="24"/>
          <w:szCs w:val="24"/>
          <w:bdr w:val="none" w:sz="0" w:space="0" w:color="auto" w:frame="1"/>
          <w:lang w:eastAsia="bg-BG" w:bidi="bg-BG"/>
        </w:rPr>
        <w:t xml:space="preserve">местните власти предприемат действия за информиране на населението. </w:t>
      </w:r>
      <w:r w:rsidR="00BC5DBA">
        <w:rPr>
          <w:rFonts w:ascii="Times New Roman" w:eastAsia="Times New Roman" w:hAnsi="Times New Roman"/>
          <w:bCs/>
          <w:sz w:val="24"/>
          <w:szCs w:val="24"/>
          <w:bdr w:val="none" w:sz="0" w:space="0" w:color="auto" w:frame="1"/>
          <w:lang w:eastAsia="bg-BG" w:bidi="bg-BG"/>
        </w:rPr>
        <w:t xml:space="preserve">Например, съгласно информация </w:t>
      </w:r>
      <w:r w:rsidR="005A15CB">
        <w:rPr>
          <w:rFonts w:ascii="Times New Roman" w:eastAsia="Times New Roman" w:hAnsi="Times New Roman"/>
          <w:bCs/>
          <w:sz w:val="24"/>
          <w:szCs w:val="24"/>
          <w:bdr w:val="none" w:sz="0" w:space="0" w:color="auto" w:frame="1"/>
          <w:lang w:eastAsia="bg-BG" w:bidi="bg-BG"/>
        </w:rPr>
        <w:t>от община Варна през 2</w:t>
      </w:r>
      <w:r w:rsidR="001066F5">
        <w:rPr>
          <w:rFonts w:ascii="Times New Roman" w:eastAsia="Times New Roman" w:hAnsi="Times New Roman"/>
          <w:bCs/>
          <w:sz w:val="24"/>
          <w:szCs w:val="24"/>
          <w:bdr w:val="none" w:sz="0" w:space="0" w:color="auto" w:frame="1"/>
          <w:lang w:eastAsia="bg-BG" w:bidi="bg-BG"/>
        </w:rPr>
        <w:t xml:space="preserve">023г. е проведена информационна кампания в районите на града с преобладаващо </w:t>
      </w:r>
      <w:r w:rsidR="00F36BFB">
        <w:rPr>
          <w:rFonts w:ascii="Times New Roman" w:eastAsia="Times New Roman" w:hAnsi="Times New Roman"/>
          <w:bCs/>
          <w:sz w:val="24"/>
          <w:szCs w:val="24"/>
          <w:bdr w:val="none" w:sz="0" w:space="0" w:color="auto" w:frame="1"/>
          <w:lang w:eastAsia="bg-BG" w:bidi="bg-BG"/>
        </w:rPr>
        <w:t xml:space="preserve">ниско застрояване и </w:t>
      </w:r>
      <w:r w:rsidR="001066F5">
        <w:rPr>
          <w:rFonts w:ascii="Times New Roman" w:eastAsia="Times New Roman" w:hAnsi="Times New Roman"/>
          <w:bCs/>
          <w:sz w:val="24"/>
          <w:szCs w:val="24"/>
          <w:bdr w:val="none" w:sz="0" w:space="0" w:color="auto" w:frame="1"/>
          <w:lang w:eastAsia="bg-BG" w:bidi="bg-BG"/>
        </w:rPr>
        <w:t>къщи</w:t>
      </w:r>
      <w:r w:rsidR="00F36BFB">
        <w:rPr>
          <w:rFonts w:ascii="Times New Roman" w:eastAsia="Times New Roman" w:hAnsi="Times New Roman"/>
          <w:bCs/>
          <w:sz w:val="24"/>
          <w:szCs w:val="24"/>
          <w:bdr w:val="none" w:sz="0" w:space="0" w:color="auto" w:frame="1"/>
          <w:lang w:eastAsia="bg-BG" w:bidi="bg-BG"/>
        </w:rPr>
        <w:t xml:space="preserve"> с раздаване на брошури. Информация е обявена и на интернет страницата на общината. </w:t>
      </w:r>
      <w:r w:rsidR="00F36BFB" w:rsidRPr="006C7D88">
        <w:rPr>
          <w:rFonts w:ascii="Times New Roman" w:eastAsia="Times New Roman" w:hAnsi="Times New Roman"/>
          <w:bCs/>
          <w:sz w:val="24"/>
          <w:szCs w:val="24"/>
          <w:bdr w:val="none" w:sz="0" w:space="0" w:color="auto" w:frame="1"/>
          <w:lang w:eastAsia="bg-BG" w:bidi="bg-BG"/>
        </w:rPr>
        <w:t xml:space="preserve">Съобщение във връзка с чл.6, ал.4 от </w:t>
      </w:r>
      <w:r w:rsidR="00F36BFB" w:rsidRPr="006C7D88">
        <w:rPr>
          <w:rFonts w:ascii="Times New Roman" w:eastAsia="Times New Roman" w:hAnsi="Times New Roman"/>
          <w:bCs/>
          <w:i/>
          <w:sz w:val="24"/>
          <w:szCs w:val="24"/>
          <w:bdr w:val="none" w:sz="0" w:space="0" w:color="auto" w:frame="1"/>
          <w:lang w:eastAsia="bg-BG" w:bidi="bg-BG"/>
        </w:rPr>
        <w:t>Наредба № 6 от 7 октомври 2019г.</w:t>
      </w:r>
      <w:r w:rsidR="00F36BFB" w:rsidRPr="006C7D88">
        <w:rPr>
          <w:rFonts w:ascii="Times New Roman" w:eastAsia="Times New Roman" w:hAnsi="Times New Roman"/>
          <w:bCs/>
          <w:sz w:val="24"/>
          <w:szCs w:val="24"/>
          <w:bdr w:val="none" w:sz="0" w:space="0" w:color="auto" w:frame="1"/>
          <w:lang w:eastAsia="bg-BG" w:bidi="bg-BG"/>
        </w:rPr>
        <w:t xml:space="preserve"> е</w:t>
      </w:r>
      <w:r w:rsidR="00F36BFB">
        <w:rPr>
          <w:rFonts w:ascii="Times New Roman" w:eastAsia="Times New Roman" w:hAnsi="Times New Roman"/>
          <w:bCs/>
          <w:sz w:val="24"/>
          <w:szCs w:val="24"/>
          <w:bdr w:val="none" w:sz="0" w:space="0" w:color="auto" w:frame="1"/>
          <w:lang w:eastAsia="bg-BG" w:bidi="bg-BG"/>
        </w:rPr>
        <w:t xml:space="preserve"> публикувано и на интернет страницата на община Пловдив. По информация на община Пирдоп след добиване, дървесината предназначена за битово отопление </w:t>
      </w:r>
      <w:r w:rsidR="00BF436A">
        <w:rPr>
          <w:rFonts w:ascii="Times New Roman" w:eastAsia="Times New Roman" w:hAnsi="Times New Roman"/>
          <w:bCs/>
          <w:sz w:val="24"/>
          <w:szCs w:val="24"/>
          <w:bdr w:val="none" w:sz="0" w:space="0" w:color="auto" w:frame="1"/>
          <w:lang w:eastAsia="bg-BG" w:bidi="bg-BG"/>
        </w:rPr>
        <w:t xml:space="preserve">се съхранява във временни горски складове преди да достигне до </w:t>
      </w:r>
      <w:r w:rsidR="00E56DD7">
        <w:rPr>
          <w:rFonts w:ascii="Times New Roman" w:eastAsia="Times New Roman" w:hAnsi="Times New Roman"/>
          <w:bCs/>
          <w:sz w:val="24"/>
          <w:szCs w:val="24"/>
          <w:bdr w:val="none" w:sz="0" w:space="0" w:color="auto" w:frame="1"/>
          <w:lang w:eastAsia="bg-BG" w:bidi="bg-BG"/>
        </w:rPr>
        <w:t xml:space="preserve">потребителите във връзка с разпоредбите на </w:t>
      </w:r>
      <w:r w:rsidR="00E56DD7" w:rsidRPr="002D3085">
        <w:rPr>
          <w:rFonts w:ascii="Times New Roman" w:eastAsia="Times New Roman" w:hAnsi="Times New Roman"/>
          <w:bCs/>
          <w:i/>
          <w:sz w:val="24"/>
          <w:szCs w:val="24"/>
          <w:bdr w:val="none" w:sz="0" w:space="0" w:color="auto" w:frame="1"/>
          <w:lang w:eastAsia="bg-BG" w:bidi="bg-BG"/>
        </w:rPr>
        <w:t>Наредба № 6 от 7 октомври 2019г.</w:t>
      </w:r>
      <w:r w:rsidR="00D91681" w:rsidRPr="004961EC">
        <w:rPr>
          <w:rFonts w:ascii="Times New Roman" w:eastAsia="Times New Roman" w:hAnsi="Times New Roman"/>
          <w:bCs/>
          <w:i/>
          <w:sz w:val="24"/>
          <w:szCs w:val="24"/>
          <w:bdr w:val="none" w:sz="0" w:space="0" w:color="auto" w:frame="1"/>
          <w:lang w:eastAsia="bg-BG" w:bidi="bg-BG"/>
        </w:rPr>
        <w:t xml:space="preserve"> </w:t>
      </w:r>
      <w:r w:rsidR="00D91681">
        <w:rPr>
          <w:rFonts w:ascii="Times New Roman" w:eastAsia="Times New Roman" w:hAnsi="Times New Roman"/>
          <w:bCs/>
          <w:sz w:val="24"/>
          <w:szCs w:val="24"/>
          <w:bdr w:val="none" w:sz="0" w:space="0" w:color="auto" w:frame="1"/>
          <w:lang w:eastAsia="bg-BG" w:bidi="bg-BG"/>
        </w:rPr>
        <w:t>Общината разполага с централен склад за съхранение на дървесни материали.</w:t>
      </w:r>
    </w:p>
    <w:p w14:paraId="04836703" w14:textId="77777777" w:rsidR="007C44E0" w:rsidRDefault="007C44E0" w:rsidP="00365B4C">
      <w:pPr>
        <w:tabs>
          <w:tab w:val="left" w:pos="1276"/>
        </w:tabs>
        <w:spacing w:after="0" w:line="240" w:lineRule="auto"/>
        <w:ind w:firstLine="1134"/>
        <w:jc w:val="both"/>
        <w:rPr>
          <w:rFonts w:ascii="Times New Roman" w:eastAsia="Times New Roman" w:hAnsi="Times New Roman"/>
          <w:bCs/>
          <w:sz w:val="24"/>
          <w:szCs w:val="24"/>
          <w:bdr w:val="none" w:sz="0" w:space="0" w:color="auto" w:frame="1"/>
          <w:lang w:eastAsia="bg-BG"/>
        </w:rPr>
      </w:pPr>
    </w:p>
    <w:p w14:paraId="4A91C01A" w14:textId="77777777" w:rsidR="00271C6B" w:rsidRPr="00252B6B" w:rsidRDefault="008F145B" w:rsidP="00365B4C">
      <w:pPr>
        <w:pStyle w:val="ListParagraph"/>
        <w:numPr>
          <w:ilvl w:val="0"/>
          <w:numId w:val="12"/>
        </w:numPr>
        <w:tabs>
          <w:tab w:val="left" w:pos="1418"/>
          <w:tab w:val="left" w:pos="1701"/>
        </w:tabs>
        <w:spacing w:after="0" w:line="240" w:lineRule="auto"/>
        <w:ind w:left="0" w:firstLine="1134"/>
        <w:jc w:val="both"/>
        <w:rPr>
          <w:rFonts w:ascii="Times New Roman" w:eastAsia="Times New Roman" w:hAnsi="Times New Roman"/>
          <w:bCs/>
          <w:sz w:val="24"/>
          <w:szCs w:val="24"/>
          <w:bdr w:val="none" w:sz="0" w:space="0" w:color="auto" w:frame="1"/>
          <w:lang w:eastAsia="bg-BG"/>
        </w:rPr>
      </w:pPr>
      <w:r w:rsidRPr="00252B6B">
        <w:rPr>
          <w:rFonts w:ascii="Times New Roman" w:eastAsia="Times New Roman" w:hAnsi="Times New Roman"/>
          <w:b/>
          <w:bCs/>
          <w:sz w:val="24"/>
          <w:szCs w:val="24"/>
          <w:bdr w:val="none" w:sz="0" w:space="0" w:color="auto" w:frame="1"/>
          <w:lang w:eastAsia="bg-BG"/>
        </w:rPr>
        <w:t>Преустановяване на практиката за продажба на дърва за огрев според теглото им</w:t>
      </w:r>
    </w:p>
    <w:p w14:paraId="548377DE" w14:textId="634BEBDD" w:rsidR="001A3F61" w:rsidRPr="00D150BC" w:rsidRDefault="00D150BC" w:rsidP="00FA0C1D">
      <w:pPr>
        <w:pStyle w:val="ListParagraph"/>
        <w:spacing w:after="0" w:line="240" w:lineRule="auto"/>
        <w:ind w:left="0" w:firstLine="1134"/>
        <w:jc w:val="both"/>
        <w:rPr>
          <w:rFonts w:ascii="Times New Roman" w:eastAsia="Times New Roman" w:hAnsi="Times New Roman"/>
          <w:bCs/>
          <w:sz w:val="24"/>
          <w:szCs w:val="24"/>
          <w:bdr w:val="none" w:sz="0" w:space="0" w:color="auto" w:frame="1"/>
          <w:lang w:eastAsia="bg-BG"/>
        </w:rPr>
      </w:pPr>
      <w:r w:rsidRPr="00D150BC">
        <w:rPr>
          <w:rFonts w:ascii="Times New Roman" w:eastAsia="Times New Roman" w:hAnsi="Times New Roman"/>
          <w:bCs/>
          <w:sz w:val="24"/>
          <w:szCs w:val="24"/>
          <w:bdr w:val="none" w:sz="0" w:space="0" w:color="auto" w:frame="1"/>
          <w:lang w:eastAsia="bg-BG"/>
        </w:rPr>
        <w:t xml:space="preserve">Мярката се изпълнява в съответствие с направените промени в </w:t>
      </w:r>
      <w:r w:rsidR="001A3F61" w:rsidRPr="00D150BC">
        <w:rPr>
          <w:rFonts w:ascii="Times New Roman" w:eastAsia="Times New Roman" w:hAnsi="Times New Roman"/>
          <w:bCs/>
          <w:i/>
          <w:sz w:val="24"/>
          <w:szCs w:val="24"/>
          <w:bdr w:val="none" w:sz="0" w:space="0" w:color="auto" w:frame="1"/>
          <w:lang w:eastAsia="bg-BG"/>
        </w:rPr>
        <w:t>Наредба №1 от 30.01.2012г. за контрола и опазването на горските територии</w:t>
      </w:r>
      <w:r w:rsidR="001A3F61" w:rsidRPr="00D150BC">
        <w:rPr>
          <w:rFonts w:ascii="Times New Roman" w:eastAsia="Times New Roman" w:hAnsi="Times New Roman"/>
          <w:bCs/>
          <w:sz w:val="24"/>
          <w:szCs w:val="24"/>
          <w:bdr w:val="none" w:sz="0" w:space="0" w:color="auto" w:frame="1"/>
          <w:lang w:eastAsia="bg-BG"/>
        </w:rPr>
        <w:t xml:space="preserve"> (</w:t>
      </w:r>
      <w:proofErr w:type="spellStart"/>
      <w:r w:rsidR="00D55C29">
        <w:rPr>
          <w:rFonts w:ascii="Times New Roman" w:eastAsia="Times New Roman" w:hAnsi="Times New Roman"/>
          <w:bCs/>
          <w:sz w:val="24"/>
          <w:szCs w:val="24"/>
          <w:bdr w:val="none" w:sz="0" w:space="0" w:color="auto" w:frame="1"/>
          <w:lang w:eastAsia="bg-BG"/>
        </w:rPr>
        <w:t>обн</w:t>
      </w:r>
      <w:proofErr w:type="spellEnd"/>
      <w:r w:rsidR="00D55C29">
        <w:rPr>
          <w:rFonts w:ascii="Times New Roman" w:eastAsia="Times New Roman" w:hAnsi="Times New Roman"/>
          <w:bCs/>
          <w:sz w:val="24"/>
          <w:szCs w:val="24"/>
          <w:bdr w:val="none" w:sz="0" w:space="0" w:color="auto" w:frame="1"/>
          <w:lang w:eastAsia="bg-BG"/>
        </w:rPr>
        <w:t>.,</w:t>
      </w:r>
      <w:r w:rsidR="001A3F61" w:rsidRPr="00D150BC">
        <w:rPr>
          <w:rFonts w:ascii="Times New Roman" w:eastAsia="Times New Roman" w:hAnsi="Times New Roman"/>
          <w:bCs/>
          <w:sz w:val="24"/>
          <w:szCs w:val="24"/>
          <w:bdr w:val="none" w:sz="0" w:space="0" w:color="auto" w:frame="1"/>
          <w:lang w:eastAsia="bg-BG"/>
        </w:rPr>
        <w:t xml:space="preserve"> ДВ, бр.89 от 12.11.2019г.), с която е отпаднала възможността за измерване и вписване в </w:t>
      </w:r>
      <w:r w:rsidR="007837E3">
        <w:rPr>
          <w:rFonts w:ascii="Times New Roman" w:eastAsia="Times New Roman" w:hAnsi="Times New Roman"/>
          <w:bCs/>
          <w:sz w:val="24"/>
          <w:szCs w:val="24"/>
          <w:bdr w:val="none" w:sz="0" w:space="0" w:color="auto" w:frame="1"/>
          <w:lang w:eastAsia="bg-BG"/>
        </w:rPr>
        <w:t>превозния билет</w:t>
      </w:r>
      <w:r w:rsidR="001A3F61" w:rsidRPr="00D150BC">
        <w:rPr>
          <w:rFonts w:ascii="Times New Roman" w:eastAsia="Times New Roman" w:hAnsi="Times New Roman"/>
          <w:bCs/>
          <w:sz w:val="24"/>
          <w:szCs w:val="24"/>
          <w:bdr w:val="none" w:sz="0" w:space="0" w:color="auto" w:frame="1"/>
          <w:lang w:eastAsia="bg-BG"/>
        </w:rPr>
        <w:t xml:space="preserve"> на дървата за огрев в мерна единица к</w:t>
      </w:r>
      <w:r w:rsidR="006052CD" w:rsidRPr="00D150BC">
        <w:rPr>
          <w:rFonts w:ascii="Times New Roman" w:eastAsia="Times New Roman" w:hAnsi="Times New Roman"/>
          <w:bCs/>
          <w:sz w:val="24"/>
          <w:szCs w:val="24"/>
          <w:bdr w:val="none" w:sz="0" w:space="0" w:color="auto" w:frame="1"/>
          <w:lang w:eastAsia="bg-BG"/>
        </w:rPr>
        <w:t>ило</w:t>
      </w:r>
      <w:r w:rsidR="001A3F61" w:rsidRPr="00D150BC">
        <w:rPr>
          <w:rFonts w:ascii="Times New Roman" w:eastAsia="Times New Roman" w:hAnsi="Times New Roman"/>
          <w:bCs/>
          <w:sz w:val="24"/>
          <w:szCs w:val="24"/>
          <w:bdr w:val="none" w:sz="0" w:space="0" w:color="auto" w:frame="1"/>
          <w:lang w:eastAsia="bg-BG"/>
        </w:rPr>
        <w:t>г</w:t>
      </w:r>
      <w:r w:rsidR="006052CD" w:rsidRPr="00D150BC">
        <w:rPr>
          <w:rFonts w:ascii="Times New Roman" w:eastAsia="Times New Roman" w:hAnsi="Times New Roman"/>
          <w:bCs/>
          <w:sz w:val="24"/>
          <w:szCs w:val="24"/>
          <w:bdr w:val="none" w:sz="0" w:space="0" w:color="auto" w:frame="1"/>
          <w:lang w:eastAsia="bg-BG"/>
        </w:rPr>
        <w:t>рам</w:t>
      </w:r>
      <w:r w:rsidR="001A3F61" w:rsidRPr="00D150BC">
        <w:rPr>
          <w:rFonts w:ascii="Times New Roman" w:eastAsia="Times New Roman" w:hAnsi="Times New Roman"/>
          <w:bCs/>
          <w:sz w:val="24"/>
          <w:szCs w:val="24"/>
          <w:bdr w:val="none" w:sz="0" w:space="0" w:color="auto" w:frame="1"/>
          <w:lang w:eastAsia="bg-BG"/>
        </w:rPr>
        <w:t xml:space="preserve"> (чл.14в, ал.2).</w:t>
      </w:r>
    </w:p>
    <w:p w14:paraId="05486F05" w14:textId="77777777" w:rsidR="002F4228" w:rsidRPr="00252B6B" w:rsidRDefault="00411102" w:rsidP="00365B4C">
      <w:pPr>
        <w:pStyle w:val="ListParagraph"/>
        <w:numPr>
          <w:ilvl w:val="0"/>
          <w:numId w:val="12"/>
        </w:numPr>
        <w:tabs>
          <w:tab w:val="left" w:pos="1418"/>
          <w:tab w:val="left" w:pos="1701"/>
        </w:tabs>
        <w:spacing w:after="0" w:line="240" w:lineRule="auto"/>
        <w:ind w:left="0" w:firstLine="1134"/>
        <w:jc w:val="both"/>
        <w:rPr>
          <w:rFonts w:ascii="Times New Roman" w:eastAsia="Times New Roman" w:hAnsi="Times New Roman"/>
          <w:bCs/>
          <w:sz w:val="24"/>
          <w:szCs w:val="24"/>
          <w:bdr w:val="none" w:sz="0" w:space="0" w:color="auto" w:frame="1"/>
          <w:lang w:eastAsia="bg-BG"/>
        </w:rPr>
      </w:pPr>
      <w:r w:rsidRPr="00252B6B">
        <w:rPr>
          <w:rFonts w:ascii="Times New Roman" w:eastAsia="Times New Roman" w:hAnsi="Times New Roman"/>
          <w:b/>
          <w:bCs/>
          <w:sz w:val="24"/>
          <w:szCs w:val="24"/>
          <w:bdr w:val="none" w:sz="0" w:space="0" w:color="auto" w:frame="1"/>
          <w:lang w:eastAsia="bg-BG"/>
        </w:rPr>
        <w:t>Ограничаване на периода, в който може да се извърши директен добив</w:t>
      </w:r>
      <w:r w:rsidR="002F4228" w:rsidRPr="00252B6B">
        <w:rPr>
          <w:rFonts w:ascii="Times New Roman" w:eastAsia="Times New Roman" w:hAnsi="Times New Roman"/>
          <w:b/>
          <w:bCs/>
          <w:sz w:val="24"/>
          <w:szCs w:val="24"/>
          <w:bdr w:val="none" w:sz="0" w:space="0" w:color="auto" w:frame="1"/>
          <w:lang w:eastAsia="bg-BG"/>
        </w:rPr>
        <w:t xml:space="preserve"> на дърва за огрев от населението</w:t>
      </w:r>
    </w:p>
    <w:p w14:paraId="46D7BBF4" w14:textId="73E9BF1C" w:rsidR="00002956" w:rsidRPr="00002956" w:rsidRDefault="00002956" w:rsidP="00002956">
      <w:pPr>
        <w:pStyle w:val="ListParagraph"/>
        <w:tabs>
          <w:tab w:val="left" w:pos="1418"/>
          <w:tab w:val="left" w:pos="1701"/>
        </w:tabs>
        <w:spacing w:after="0" w:line="240" w:lineRule="auto"/>
        <w:ind w:left="0" w:firstLine="1080"/>
        <w:jc w:val="both"/>
        <w:rPr>
          <w:rFonts w:ascii="Times New Roman" w:eastAsia="Times New Roman" w:hAnsi="Times New Roman"/>
          <w:bCs/>
          <w:sz w:val="24"/>
          <w:szCs w:val="24"/>
          <w:bdr w:val="none" w:sz="0" w:space="0" w:color="auto" w:frame="1"/>
          <w:lang w:eastAsia="bg-BG"/>
        </w:rPr>
      </w:pPr>
      <w:r w:rsidRPr="00002956">
        <w:rPr>
          <w:rFonts w:ascii="Times New Roman" w:eastAsia="Times New Roman" w:hAnsi="Times New Roman"/>
          <w:bCs/>
          <w:sz w:val="24"/>
          <w:szCs w:val="24"/>
          <w:bdr w:val="none" w:sz="0" w:space="0" w:color="auto" w:frame="1"/>
          <w:lang w:eastAsia="bg-BG"/>
        </w:rPr>
        <w:t>През 2023г. са публикувани изменения на чл.111 от Закона за горите</w:t>
      </w:r>
      <w:r w:rsidR="002831C0">
        <w:rPr>
          <w:rFonts w:ascii="Times New Roman" w:eastAsia="Times New Roman" w:hAnsi="Times New Roman"/>
          <w:bCs/>
          <w:sz w:val="24"/>
          <w:szCs w:val="24"/>
          <w:bdr w:val="none" w:sz="0" w:space="0" w:color="auto" w:frame="1"/>
          <w:lang w:eastAsia="bg-BG"/>
        </w:rPr>
        <w:t xml:space="preserve"> </w:t>
      </w:r>
      <w:r w:rsidR="002831C0" w:rsidRPr="002831C0">
        <w:rPr>
          <w:rFonts w:ascii="Times New Roman" w:eastAsia="Times New Roman" w:hAnsi="Times New Roman"/>
          <w:bCs/>
          <w:sz w:val="24"/>
          <w:szCs w:val="24"/>
          <w:bdr w:val="none" w:sz="0" w:space="0" w:color="auto" w:frame="1"/>
          <w:lang w:eastAsia="bg-BG"/>
        </w:rPr>
        <w:t>(</w:t>
      </w:r>
      <w:proofErr w:type="spellStart"/>
      <w:r w:rsidR="00D55C29">
        <w:rPr>
          <w:rFonts w:ascii="Times New Roman" w:eastAsia="Times New Roman" w:hAnsi="Times New Roman"/>
          <w:bCs/>
          <w:sz w:val="24"/>
          <w:szCs w:val="24"/>
          <w:bdr w:val="none" w:sz="0" w:space="0" w:color="auto" w:frame="1"/>
          <w:lang w:eastAsia="bg-BG"/>
        </w:rPr>
        <w:t>обн</w:t>
      </w:r>
      <w:proofErr w:type="spellEnd"/>
      <w:r w:rsidR="00D55C29">
        <w:rPr>
          <w:rFonts w:ascii="Times New Roman" w:eastAsia="Times New Roman" w:hAnsi="Times New Roman"/>
          <w:bCs/>
          <w:sz w:val="24"/>
          <w:szCs w:val="24"/>
          <w:bdr w:val="none" w:sz="0" w:space="0" w:color="auto" w:frame="1"/>
          <w:lang w:eastAsia="bg-BG"/>
        </w:rPr>
        <w:t xml:space="preserve">., </w:t>
      </w:r>
      <w:r w:rsidR="002831C0" w:rsidRPr="002831C0">
        <w:rPr>
          <w:rFonts w:ascii="Times New Roman" w:eastAsia="Times New Roman" w:hAnsi="Times New Roman"/>
          <w:bCs/>
          <w:sz w:val="24"/>
          <w:szCs w:val="24"/>
          <w:bdr w:val="none" w:sz="0" w:space="0" w:color="auto" w:frame="1"/>
          <w:lang w:eastAsia="bg-BG"/>
        </w:rPr>
        <w:t>ДВ, бр.11 от 02.02.2023г. и ДВ, бр.67 от 04.08.2023г.)</w:t>
      </w:r>
      <w:r w:rsidRPr="002831C0">
        <w:rPr>
          <w:rFonts w:ascii="Times New Roman" w:eastAsia="Times New Roman" w:hAnsi="Times New Roman"/>
          <w:bCs/>
          <w:sz w:val="24"/>
          <w:szCs w:val="24"/>
          <w:bdr w:val="none" w:sz="0" w:space="0" w:color="auto" w:frame="1"/>
          <w:lang w:eastAsia="bg-BG"/>
        </w:rPr>
        <w:t>,</w:t>
      </w:r>
      <w:r w:rsidRPr="00002956">
        <w:rPr>
          <w:rFonts w:ascii="Times New Roman" w:eastAsia="Times New Roman" w:hAnsi="Times New Roman"/>
          <w:bCs/>
          <w:sz w:val="24"/>
          <w:szCs w:val="24"/>
          <w:bdr w:val="none" w:sz="0" w:space="0" w:color="auto" w:frame="1"/>
          <w:lang w:eastAsia="bg-BG"/>
        </w:rPr>
        <w:t xml:space="preserve"> отнасящи се до снабдяването на населението с дърва за огрев. Въведени са срокове за отделните етапи за снабдяването с дърва за огрев с цел да се избегне снабдяването на потребителите със сурова дървесина, непосредствено преди или по време на отоплителния сезон. </w:t>
      </w:r>
    </w:p>
    <w:p w14:paraId="5D524EC3" w14:textId="0157C35E" w:rsidR="00002956" w:rsidRDefault="00002956" w:rsidP="00002956">
      <w:pPr>
        <w:pStyle w:val="ListParagraph"/>
        <w:tabs>
          <w:tab w:val="left" w:pos="1418"/>
          <w:tab w:val="left" w:pos="1701"/>
        </w:tabs>
        <w:spacing w:after="0" w:line="240" w:lineRule="auto"/>
        <w:ind w:left="0" w:firstLine="1134"/>
        <w:jc w:val="both"/>
        <w:rPr>
          <w:rFonts w:ascii="Times New Roman" w:eastAsia="Times New Roman" w:hAnsi="Times New Roman"/>
          <w:bCs/>
          <w:sz w:val="24"/>
          <w:szCs w:val="24"/>
          <w:bdr w:val="none" w:sz="0" w:space="0" w:color="auto" w:frame="1"/>
          <w:lang w:eastAsia="bg-BG"/>
        </w:rPr>
      </w:pPr>
      <w:r w:rsidRPr="00002956">
        <w:rPr>
          <w:rFonts w:ascii="Times New Roman" w:eastAsia="Times New Roman" w:hAnsi="Times New Roman"/>
          <w:bCs/>
          <w:sz w:val="24"/>
          <w:szCs w:val="24"/>
          <w:bdr w:val="none" w:sz="0" w:space="0" w:color="auto" w:frame="1"/>
          <w:lang w:eastAsia="bg-BG"/>
        </w:rPr>
        <w:t xml:space="preserve">Количествата на дървата за огрев за местното население през последните 3 години е динамично и зависи от външни фактори, като поскъпването на енергоносителите вследствие на войната в Украйна и преориентирането на населението към по-достъпни начини за отопление. През 2022г. вследствие на посочените фактори е отбелязан пик на търсенето и съответно е завишено предлагането на дърва за огрев (с 61% повече от 2021г.). През 2023г. е отчетено успокоение на търсенето на дърва за огрев (33% повече от 2021г., но със 17% по-малко от 2022г.). </w:t>
      </w:r>
    </w:p>
    <w:p w14:paraId="39A487DA" w14:textId="6337F4F3" w:rsidR="00002956" w:rsidRDefault="00335D11" w:rsidP="00365B4C">
      <w:pPr>
        <w:pStyle w:val="ListParagraph"/>
        <w:tabs>
          <w:tab w:val="left" w:pos="1418"/>
          <w:tab w:val="left" w:pos="1701"/>
        </w:tabs>
        <w:spacing w:after="0" w:line="240" w:lineRule="auto"/>
        <w:ind w:left="0" w:firstLine="1134"/>
        <w:jc w:val="both"/>
        <w:rPr>
          <w:rFonts w:ascii="Times New Roman" w:eastAsia="Times New Roman" w:hAnsi="Times New Roman"/>
          <w:bCs/>
          <w:sz w:val="24"/>
          <w:szCs w:val="24"/>
          <w:bdr w:val="none" w:sz="0" w:space="0" w:color="auto" w:frame="1"/>
          <w:lang w:eastAsia="bg-BG"/>
        </w:rPr>
      </w:pPr>
      <w:r w:rsidRPr="00335D11">
        <w:rPr>
          <w:rFonts w:ascii="Times New Roman" w:eastAsia="Times New Roman" w:hAnsi="Times New Roman"/>
          <w:bCs/>
          <w:sz w:val="24"/>
          <w:szCs w:val="24"/>
          <w:bdr w:val="none" w:sz="0" w:space="0" w:color="auto" w:frame="1"/>
          <w:lang w:eastAsia="bg-BG" w:bidi="bg-BG"/>
        </w:rPr>
        <w:t>В началото на 2024г. М</w:t>
      </w:r>
      <w:r w:rsidR="002831C0">
        <w:rPr>
          <w:rFonts w:ascii="Times New Roman" w:eastAsia="Times New Roman" w:hAnsi="Times New Roman"/>
          <w:bCs/>
          <w:sz w:val="24"/>
          <w:szCs w:val="24"/>
          <w:bdr w:val="none" w:sz="0" w:space="0" w:color="auto" w:frame="1"/>
          <w:lang w:eastAsia="bg-BG" w:bidi="bg-BG"/>
        </w:rPr>
        <w:t>инистерството на земеделието и храните</w:t>
      </w:r>
      <w:r w:rsidRPr="00335D11">
        <w:rPr>
          <w:rFonts w:ascii="Times New Roman" w:eastAsia="Times New Roman" w:hAnsi="Times New Roman"/>
          <w:bCs/>
          <w:sz w:val="24"/>
          <w:szCs w:val="24"/>
          <w:bdr w:val="none" w:sz="0" w:space="0" w:color="auto" w:frame="1"/>
          <w:lang w:eastAsia="bg-BG" w:bidi="bg-BG"/>
        </w:rPr>
        <w:t xml:space="preserve"> обяви намаляването на цените на дървата за огрев с 20% спрямо достигнатите през 2023г., което ще способства за по-ранното снабдяване на населението с дърва и съответно увеличаване на времето за </w:t>
      </w:r>
      <w:proofErr w:type="spellStart"/>
      <w:r w:rsidRPr="00335D11">
        <w:rPr>
          <w:rFonts w:ascii="Times New Roman" w:eastAsia="Times New Roman" w:hAnsi="Times New Roman"/>
          <w:bCs/>
          <w:sz w:val="24"/>
          <w:szCs w:val="24"/>
          <w:bdr w:val="none" w:sz="0" w:space="0" w:color="auto" w:frame="1"/>
          <w:lang w:eastAsia="bg-BG" w:bidi="bg-BG"/>
        </w:rPr>
        <w:t>просушаването</w:t>
      </w:r>
      <w:proofErr w:type="spellEnd"/>
      <w:r w:rsidRPr="00335D11">
        <w:rPr>
          <w:rFonts w:ascii="Times New Roman" w:eastAsia="Times New Roman" w:hAnsi="Times New Roman"/>
          <w:bCs/>
          <w:sz w:val="24"/>
          <w:szCs w:val="24"/>
          <w:bdr w:val="none" w:sz="0" w:space="0" w:color="auto" w:frame="1"/>
          <w:lang w:eastAsia="bg-BG" w:bidi="bg-BG"/>
        </w:rPr>
        <w:t xml:space="preserve"> им до отоплителния сезон.</w:t>
      </w:r>
    </w:p>
    <w:p w14:paraId="77FC7715" w14:textId="77777777" w:rsidR="00002956" w:rsidRDefault="00002956" w:rsidP="00365B4C">
      <w:pPr>
        <w:pStyle w:val="ListParagraph"/>
        <w:tabs>
          <w:tab w:val="left" w:pos="1418"/>
          <w:tab w:val="left" w:pos="1701"/>
        </w:tabs>
        <w:spacing w:after="0" w:line="240" w:lineRule="auto"/>
        <w:ind w:left="0" w:firstLine="1134"/>
        <w:jc w:val="both"/>
        <w:rPr>
          <w:rFonts w:ascii="Times New Roman" w:eastAsia="Times New Roman" w:hAnsi="Times New Roman"/>
          <w:bCs/>
          <w:sz w:val="24"/>
          <w:szCs w:val="24"/>
          <w:bdr w:val="none" w:sz="0" w:space="0" w:color="auto" w:frame="1"/>
          <w:lang w:eastAsia="bg-BG"/>
        </w:rPr>
      </w:pPr>
    </w:p>
    <w:p w14:paraId="33978B6D" w14:textId="77777777" w:rsidR="00411102" w:rsidRPr="00252B6B" w:rsidRDefault="002F4228" w:rsidP="00365B4C">
      <w:pPr>
        <w:pStyle w:val="ListParagraph"/>
        <w:numPr>
          <w:ilvl w:val="0"/>
          <w:numId w:val="12"/>
        </w:numPr>
        <w:tabs>
          <w:tab w:val="left" w:pos="1418"/>
          <w:tab w:val="left" w:pos="1701"/>
        </w:tabs>
        <w:spacing w:after="0" w:line="240" w:lineRule="auto"/>
        <w:ind w:left="0" w:firstLine="1134"/>
        <w:jc w:val="both"/>
        <w:rPr>
          <w:rFonts w:ascii="Times New Roman" w:eastAsia="Times New Roman" w:hAnsi="Times New Roman"/>
          <w:bCs/>
          <w:sz w:val="24"/>
          <w:szCs w:val="24"/>
          <w:bdr w:val="none" w:sz="0" w:space="0" w:color="auto" w:frame="1"/>
          <w:lang w:eastAsia="bg-BG"/>
        </w:rPr>
      </w:pPr>
      <w:r w:rsidRPr="00252B6B">
        <w:rPr>
          <w:rFonts w:ascii="Times New Roman" w:eastAsia="Times New Roman" w:hAnsi="Times New Roman"/>
          <w:b/>
          <w:bCs/>
          <w:sz w:val="24"/>
          <w:szCs w:val="24"/>
          <w:bdr w:val="none" w:sz="0" w:space="0" w:color="auto" w:frame="1"/>
          <w:lang w:eastAsia="bg-BG"/>
        </w:rPr>
        <w:t>О</w:t>
      </w:r>
      <w:r w:rsidR="00411102" w:rsidRPr="00252B6B">
        <w:rPr>
          <w:rFonts w:ascii="Times New Roman" w:eastAsia="Times New Roman" w:hAnsi="Times New Roman"/>
          <w:b/>
          <w:bCs/>
          <w:sz w:val="24"/>
          <w:szCs w:val="24"/>
          <w:bdr w:val="none" w:sz="0" w:space="0" w:color="auto" w:frame="1"/>
          <w:lang w:eastAsia="bg-BG"/>
        </w:rPr>
        <w:t>граничаване периода на доставка на дърва за огрев от общините и държавните предприятия</w:t>
      </w:r>
    </w:p>
    <w:p w14:paraId="57CCA020" w14:textId="6820CB8D" w:rsidR="006D2B64" w:rsidRDefault="006D2B64" w:rsidP="00365B4C">
      <w:pPr>
        <w:pStyle w:val="ListParagraph"/>
        <w:tabs>
          <w:tab w:val="left" w:pos="1418"/>
          <w:tab w:val="left" w:pos="1701"/>
        </w:tabs>
        <w:spacing w:after="0" w:line="240" w:lineRule="auto"/>
        <w:ind w:left="0"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 xml:space="preserve">И през 2023г., вече традиционно се дават указания от </w:t>
      </w:r>
      <w:r w:rsidRPr="006D2B64">
        <w:rPr>
          <w:rFonts w:ascii="Times New Roman" w:eastAsia="Times New Roman" w:hAnsi="Times New Roman"/>
          <w:bCs/>
          <w:sz w:val="24"/>
          <w:szCs w:val="24"/>
          <w:bdr w:val="none" w:sz="0" w:space="0" w:color="auto" w:frame="1"/>
          <w:lang w:eastAsia="bg-BG"/>
        </w:rPr>
        <w:t>Министерството на земеделието и храните (МЗХ) до директорите на държавните предприятия по Закона за горите, във връзка с организацията за осигуряване на дърва за огрев на населението.</w:t>
      </w:r>
      <w:r w:rsidR="00616DAA">
        <w:rPr>
          <w:rFonts w:ascii="Times New Roman" w:eastAsia="Times New Roman" w:hAnsi="Times New Roman"/>
          <w:bCs/>
          <w:sz w:val="24"/>
          <w:szCs w:val="24"/>
          <w:bdr w:val="none" w:sz="0" w:space="0" w:color="auto" w:frame="1"/>
          <w:lang w:eastAsia="bg-BG"/>
        </w:rPr>
        <w:t xml:space="preserve"> Целта е създаване на предпоставки за спазване на </w:t>
      </w:r>
      <w:r>
        <w:rPr>
          <w:rFonts w:ascii="Times New Roman" w:eastAsia="Times New Roman" w:hAnsi="Times New Roman"/>
          <w:bCs/>
          <w:sz w:val="24"/>
          <w:szCs w:val="24"/>
          <w:bdr w:val="none" w:sz="0" w:space="0" w:color="auto" w:frame="1"/>
          <w:lang w:eastAsia="bg-BG"/>
        </w:rPr>
        <w:t xml:space="preserve">разпоредбите на </w:t>
      </w:r>
      <w:r w:rsidRPr="006D2B64">
        <w:rPr>
          <w:rFonts w:ascii="Times New Roman" w:eastAsia="Times New Roman" w:hAnsi="Times New Roman"/>
          <w:bCs/>
          <w:sz w:val="24"/>
          <w:szCs w:val="24"/>
          <w:bdr w:val="none" w:sz="0" w:space="0" w:color="auto" w:frame="1"/>
          <w:lang w:eastAsia="bg-BG"/>
        </w:rPr>
        <w:t xml:space="preserve">Наредба № 6 от 7 октомври 2019г. </w:t>
      </w:r>
      <w:r w:rsidR="00616DAA">
        <w:rPr>
          <w:rFonts w:ascii="Times New Roman" w:eastAsia="Times New Roman" w:hAnsi="Times New Roman"/>
          <w:bCs/>
          <w:sz w:val="24"/>
          <w:szCs w:val="24"/>
          <w:bdr w:val="none" w:sz="0" w:space="0" w:color="auto" w:frame="1"/>
          <w:lang w:eastAsia="bg-BG"/>
        </w:rPr>
        <w:t xml:space="preserve">за </w:t>
      </w:r>
      <w:r w:rsidRPr="006D2B64">
        <w:rPr>
          <w:rFonts w:ascii="Times New Roman" w:eastAsia="Times New Roman" w:hAnsi="Times New Roman"/>
          <w:bCs/>
          <w:sz w:val="24"/>
          <w:szCs w:val="24"/>
          <w:bdr w:val="none" w:sz="0" w:space="0" w:color="auto" w:frame="1"/>
          <w:lang w:eastAsia="bg-BG"/>
        </w:rPr>
        <w:t xml:space="preserve">минимални срокове за естествено </w:t>
      </w:r>
      <w:proofErr w:type="spellStart"/>
      <w:r w:rsidRPr="006D2B64">
        <w:rPr>
          <w:rFonts w:ascii="Times New Roman" w:eastAsia="Times New Roman" w:hAnsi="Times New Roman"/>
          <w:bCs/>
          <w:sz w:val="24"/>
          <w:szCs w:val="24"/>
          <w:bdr w:val="none" w:sz="0" w:space="0" w:color="auto" w:frame="1"/>
          <w:lang w:eastAsia="bg-BG"/>
        </w:rPr>
        <w:t>просушаване</w:t>
      </w:r>
      <w:proofErr w:type="spellEnd"/>
      <w:r w:rsidRPr="006D2B64">
        <w:rPr>
          <w:rFonts w:ascii="Times New Roman" w:eastAsia="Times New Roman" w:hAnsi="Times New Roman"/>
          <w:bCs/>
          <w:sz w:val="24"/>
          <w:szCs w:val="24"/>
          <w:bdr w:val="none" w:sz="0" w:space="0" w:color="auto" w:frame="1"/>
          <w:lang w:eastAsia="bg-BG"/>
        </w:rPr>
        <w:t xml:space="preserve"> на сурова дървесина</w:t>
      </w:r>
      <w:r w:rsidR="00616DAA">
        <w:rPr>
          <w:rFonts w:ascii="Times New Roman" w:eastAsia="Times New Roman" w:hAnsi="Times New Roman"/>
          <w:bCs/>
          <w:sz w:val="24"/>
          <w:szCs w:val="24"/>
          <w:bdr w:val="none" w:sz="0" w:space="0" w:color="auto" w:frame="1"/>
          <w:lang w:eastAsia="bg-BG"/>
        </w:rPr>
        <w:t>.</w:t>
      </w:r>
      <w:r w:rsidRPr="006D2B64">
        <w:rPr>
          <w:rFonts w:ascii="Times New Roman" w:eastAsia="Times New Roman" w:hAnsi="Times New Roman"/>
          <w:bCs/>
          <w:sz w:val="24"/>
          <w:szCs w:val="24"/>
          <w:bdr w:val="none" w:sz="0" w:space="0" w:color="auto" w:frame="1"/>
          <w:lang w:eastAsia="bg-BG"/>
        </w:rPr>
        <w:t xml:space="preserve"> </w:t>
      </w:r>
      <w:r w:rsidRPr="006D2B64">
        <w:rPr>
          <w:rFonts w:ascii="Times New Roman" w:eastAsia="Times New Roman" w:hAnsi="Times New Roman"/>
          <w:bCs/>
          <w:sz w:val="24"/>
          <w:szCs w:val="24"/>
          <w:bdr w:val="none" w:sz="0" w:space="0" w:color="auto" w:frame="1"/>
          <w:lang w:eastAsia="bg-BG"/>
        </w:rPr>
        <w:lastRenderedPageBreak/>
        <w:t xml:space="preserve">Независимо от това, съгласно информация на МЗХ трудно може да бъде ограничен периода на доставка на дървата за огрев, като законодателят е заложил срок до 1 ноември (чл.111, ал.18 от Закона за горите), в който се предоставя дървесина на </w:t>
      </w:r>
      <w:proofErr w:type="spellStart"/>
      <w:r w:rsidRPr="006D2B64">
        <w:rPr>
          <w:rFonts w:ascii="Times New Roman" w:eastAsia="Times New Roman" w:hAnsi="Times New Roman"/>
          <w:bCs/>
          <w:sz w:val="24"/>
          <w:szCs w:val="24"/>
          <w:bdr w:val="none" w:sz="0" w:space="0" w:color="auto" w:frame="1"/>
          <w:lang w:eastAsia="bg-BG"/>
        </w:rPr>
        <w:t>правоимащите</w:t>
      </w:r>
      <w:proofErr w:type="spellEnd"/>
      <w:r w:rsidRPr="006D2B64">
        <w:rPr>
          <w:rFonts w:ascii="Times New Roman" w:eastAsia="Times New Roman" w:hAnsi="Times New Roman"/>
          <w:bCs/>
          <w:sz w:val="24"/>
          <w:szCs w:val="24"/>
          <w:bdr w:val="none" w:sz="0" w:space="0" w:color="auto" w:frame="1"/>
          <w:lang w:eastAsia="bg-BG"/>
        </w:rPr>
        <w:t xml:space="preserve"> лица.</w:t>
      </w:r>
    </w:p>
    <w:p w14:paraId="479C181D" w14:textId="77777777" w:rsidR="00B0540E" w:rsidRDefault="00B0540E" w:rsidP="00B0540E">
      <w:pPr>
        <w:spacing w:after="0" w:line="240" w:lineRule="auto"/>
        <w:jc w:val="both"/>
        <w:rPr>
          <w:rFonts w:ascii="Times New Roman" w:eastAsia="Times New Roman" w:hAnsi="Times New Roman"/>
          <w:bCs/>
          <w:i/>
          <w:sz w:val="20"/>
          <w:szCs w:val="20"/>
          <w:bdr w:val="none" w:sz="0" w:space="0" w:color="auto" w:frame="1"/>
          <w:lang w:eastAsia="bg-BG"/>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1082"/>
        <w:gridCol w:w="3959"/>
      </w:tblGrid>
      <w:tr w:rsidR="00B0540E" w:rsidRPr="00D32427" w14:paraId="51483A76" w14:textId="77777777" w:rsidTr="00834D89">
        <w:tc>
          <w:tcPr>
            <w:tcW w:w="4050" w:type="dxa"/>
          </w:tcPr>
          <w:p w14:paraId="4A55FA42" w14:textId="77777777" w:rsidR="00B0540E" w:rsidRPr="00D32427" w:rsidRDefault="00B0540E" w:rsidP="00834D89">
            <w:pPr>
              <w:spacing w:after="0" w:line="240" w:lineRule="auto"/>
              <w:jc w:val="both"/>
              <w:rPr>
                <w:rFonts w:ascii="Times New Roman" w:eastAsia="Times New Roman" w:hAnsi="Times New Roman"/>
                <w:bCs/>
                <w:i/>
                <w:sz w:val="20"/>
                <w:szCs w:val="20"/>
                <w:bdr w:val="none" w:sz="0" w:space="0" w:color="auto" w:frame="1"/>
                <w:lang w:eastAsia="bg-BG"/>
              </w:rPr>
            </w:pPr>
            <w:r w:rsidRPr="00D32427">
              <w:rPr>
                <w:rFonts w:ascii="Times New Roman" w:eastAsia="Times New Roman" w:hAnsi="Times New Roman"/>
                <w:bCs/>
                <w:i/>
                <w:sz w:val="20"/>
                <w:szCs w:val="20"/>
                <w:bdr w:val="none" w:sz="0" w:space="0" w:color="auto" w:frame="1"/>
                <w:lang w:eastAsia="bg-BG"/>
              </w:rPr>
              <w:t xml:space="preserve">Показател за изпълнение определен в Приложение </w:t>
            </w:r>
            <w:r w:rsidRPr="00D32427">
              <w:rPr>
                <w:rFonts w:ascii="Times New Roman" w:eastAsia="Times New Roman" w:hAnsi="Times New Roman"/>
                <w:bCs/>
                <w:i/>
                <w:sz w:val="20"/>
                <w:szCs w:val="20"/>
                <w:bdr w:val="none" w:sz="0" w:space="0" w:color="auto" w:frame="1"/>
                <w:lang w:val="en-US" w:eastAsia="bg-BG"/>
              </w:rPr>
              <w:t xml:space="preserve">XIV – </w:t>
            </w:r>
            <w:r w:rsidRPr="00D32427">
              <w:rPr>
                <w:rFonts w:ascii="Times New Roman" w:eastAsia="Times New Roman" w:hAnsi="Times New Roman"/>
                <w:bCs/>
                <w:i/>
                <w:sz w:val="20"/>
                <w:szCs w:val="20"/>
                <w:bdr w:val="none" w:sz="0" w:space="0" w:color="auto" w:frame="1"/>
                <w:lang w:eastAsia="bg-BG"/>
              </w:rPr>
              <w:t>„План за действие“ към НППКАВ</w:t>
            </w:r>
            <w:r w:rsidRPr="00D32427">
              <w:rPr>
                <w:rFonts w:ascii="Times New Roman" w:eastAsia="Times New Roman" w:hAnsi="Times New Roman"/>
                <w:bCs/>
                <w:i/>
                <w:sz w:val="20"/>
                <w:szCs w:val="20"/>
                <w:bdr w:val="none" w:sz="0" w:space="0" w:color="auto" w:frame="1"/>
                <w:lang w:val="en-US" w:eastAsia="bg-BG"/>
              </w:rPr>
              <w:t>:</w:t>
            </w:r>
          </w:p>
        </w:tc>
        <w:tc>
          <w:tcPr>
            <w:tcW w:w="1080" w:type="dxa"/>
          </w:tcPr>
          <w:p w14:paraId="5F6E9B21" w14:textId="77777777" w:rsidR="00B0540E" w:rsidRPr="00D32427" w:rsidRDefault="00B0540E" w:rsidP="00834D89">
            <w:pPr>
              <w:spacing w:after="0" w:line="240" w:lineRule="auto"/>
              <w:jc w:val="center"/>
              <w:rPr>
                <w:rFonts w:ascii="Times New Roman" w:eastAsia="Times New Roman" w:hAnsi="Times New Roman"/>
                <w:bCs/>
                <w:i/>
                <w:sz w:val="20"/>
                <w:szCs w:val="20"/>
                <w:bdr w:val="none" w:sz="0" w:space="0" w:color="auto" w:frame="1"/>
                <w:lang w:eastAsia="bg-BG"/>
              </w:rPr>
            </w:pPr>
            <w:r w:rsidRPr="00D32427">
              <w:rPr>
                <w:rFonts w:ascii="Times New Roman" w:eastAsia="Times New Roman" w:hAnsi="Times New Roman"/>
                <w:bCs/>
                <w:i/>
                <w:sz w:val="20"/>
                <w:szCs w:val="20"/>
                <w:bdr w:val="none" w:sz="0" w:space="0" w:color="auto" w:frame="1"/>
                <w:lang w:eastAsia="bg-BG"/>
              </w:rPr>
              <w:t>Целева стойност</w:t>
            </w:r>
          </w:p>
        </w:tc>
        <w:tc>
          <w:tcPr>
            <w:tcW w:w="3960" w:type="dxa"/>
          </w:tcPr>
          <w:p w14:paraId="31422312" w14:textId="7E4E42DA" w:rsidR="00B0540E" w:rsidRPr="00D32427" w:rsidRDefault="00B0540E" w:rsidP="00834D89">
            <w:pPr>
              <w:spacing w:after="0" w:line="240" w:lineRule="auto"/>
              <w:jc w:val="center"/>
              <w:rPr>
                <w:rFonts w:ascii="Times New Roman" w:eastAsia="Times New Roman" w:hAnsi="Times New Roman"/>
                <w:bCs/>
                <w:i/>
                <w:sz w:val="20"/>
                <w:szCs w:val="20"/>
                <w:bdr w:val="none" w:sz="0" w:space="0" w:color="auto" w:frame="1"/>
                <w:lang w:eastAsia="bg-BG"/>
              </w:rPr>
            </w:pPr>
            <w:r w:rsidRPr="00D32427">
              <w:rPr>
                <w:rFonts w:ascii="Times New Roman" w:eastAsia="Times New Roman" w:hAnsi="Times New Roman"/>
                <w:bCs/>
                <w:i/>
                <w:sz w:val="20"/>
                <w:szCs w:val="20"/>
                <w:bdr w:val="none" w:sz="0" w:space="0" w:color="auto" w:frame="1"/>
                <w:lang w:eastAsia="bg-BG"/>
              </w:rPr>
              <w:t>2023г.</w:t>
            </w:r>
          </w:p>
        </w:tc>
      </w:tr>
      <w:tr w:rsidR="00B0540E" w:rsidRPr="004436DF" w14:paraId="718E414B" w14:textId="77777777" w:rsidTr="00834D89">
        <w:tc>
          <w:tcPr>
            <w:tcW w:w="4050" w:type="dxa"/>
            <w:shd w:val="clear" w:color="auto" w:fill="auto"/>
          </w:tcPr>
          <w:p w14:paraId="6DB40C5D" w14:textId="677E4AD3" w:rsidR="00B0540E" w:rsidRPr="004436DF" w:rsidRDefault="00B0540E" w:rsidP="00834D89">
            <w:pPr>
              <w:spacing w:after="0" w:line="240" w:lineRule="auto"/>
              <w:jc w:val="both"/>
              <w:rPr>
                <w:rFonts w:ascii="Times New Roman" w:eastAsia="Times New Roman" w:hAnsi="Times New Roman"/>
                <w:bCs/>
                <w:sz w:val="20"/>
                <w:szCs w:val="20"/>
                <w:bdr w:val="none" w:sz="0" w:space="0" w:color="auto" w:frame="1"/>
                <w:lang w:eastAsia="bg-BG"/>
              </w:rPr>
            </w:pPr>
            <w:r w:rsidRPr="004436DF">
              <w:rPr>
                <w:rFonts w:ascii="Times New Roman" w:eastAsia="Times New Roman" w:hAnsi="Times New Roman"/>
                <w:bCs/>
                <w:sz w:val="20"/>
                <w:szCs w:val="20"/>
                <w:bdr w:val="none" w:sz="0" w:space="0" w:color="auto" w:frame="1"/>
                <w:lang w:eastAsia="bg-BG"/>
              </w:rPr>
              <w:t xml:space="preserve">- </w:t>
            </w:r>
            <w:r w:rsidR="007F5E72" w:rsidRPr="007F5E72">
              <w:rPr>
                <w:rFonts w:ascii="Times New Roman" w:eastAsia="Times New Roman" w:hAnsi="Times New Roman"/>
                <w:bCs/>
                <w:sz w:val="20"/>
                <w:szCs w:val="20"/>
                <w:bdr w:val="none" w:sz="0" w:space="0" w:color="auto" w:frame="1"/>
                <w:lang w:eastAsia="bg-BG"/>
              </w:rPr>
              <w:t>Приети на изменения на Закона за горите и/или подзаконови нормативни актове</w:t>
            </w:r>
          </w:p>
        </w:tc>
        <w:tc>
          <w:tcPr>
            <w:tcW w:w="1080" w:type="dxa"/>
          </w:tcPr>
          <w:p w14:paraId="2F4B3AFB" w14:textId="77777777" w:rsidR="00B0540E" w:rsidRPr="004436DF" w:rsidRDefault="00B0540E" w:rsidP="00834D89">
            <w:pPr>
              <w:spacing w:after="0" w:line="240" w:lineRule="auto"/>
              <w:jc w:val="center"/>
              <w:rPr>
                <w:rFonts w:ascii="Times New Roman" w:eastAsia="Times New Roman" w:hAnsi="Times New Roman"/>
                <w:bCs/>
                <w:sz w:val="20"/>
                <w:szCs w:val="20"/>
                <w:bdr w:val="none" w:sz="0" w:space="0" w:color="auto" w:frame="1"/>
                <w:lang w:eastAsia="bg-BG"/>
              </w:rPr>
            </w:pPr>
            <w:r w:rsidRPr="004436DF">
              <w:rPr>
                <w:rFonts w:ascii="Times New Roman" w:eastAsia="Times New Roman" w:hAnsi="Times New Roman"/>
                <w:bCs/>
                <w:sz w:val="20"/>
                <w:szCs w:val="20"/>
                <w:bdr w:val="none" w:sz="0" w:space="0" w:color="auto" w:frame="1"/>
                <w:lang w:eastAsia="bg-BG"/>
              </w:rPr>
              <w:t>1</w:t>
            </w:r>
          </w:p>
          <w:p w14:paraId="742277F0" w14:textId="729A4C17" w:rsidR="00B0540E" w:rsidRPr="004436DF" w:rsidRDefault="00B0540E" w:rsidP="00834D89">
            <w:pPr>
              <w:spacing w:after="0" w:line="240" w:lineRule="auto"/>
              <w:jc w:val="center"/>
              <w:rPr>
                <w:rFonts w:ascii="Times New Roman" w:eastAsia="Times New Roman" w:hAnsi="Times New Roman"/>
                <w:bCs/>
                <w:sz w:val="20"/>
                <w:szCs w:val="20"/>
                <w:bdr w:val="none" w:sz="0" w:space="0" w:color="auto" w:frame="1"/>
                <w:lang w:eastAsia="bg-BG"/>
              </w:rPr>
            </w:pPr>
          </w:p>
          <w:p w14:paraId="69601A56" w14:textId="77777777" w:rsidR="00B0540E" w:rsidRPr="004436DF" w:rsidRDefault="00B0540E" w:rsidP="00834D89">
            <w:pPr>
              <w:spacing w:after="0" w:line="240" w:lineRule="auto"/>
              <w:jc w:val="center"/>
              <w:rPr>
                <w:rFonts w:ascii="Times New Roman" w:eastAsia="Times New Roman" w:hAnsi="Times New Roman"/>
                <w:bCs/>
                <w:sz w:val="20"/>
                <w:szCs w:val="20"/>
                <w:bdr w:val="none" w:sz="0" w:space="0" w:color="auto" w:frame="1"/>
                <w:lang w:eastAsia="bg-BG"/>
              </w:rPr>
            </w:pPr>
          </w:p>
          <w:p w14:paraId="5DE6EA3A" w14:textId="749A6668" w:rsidR="00B0540E" w:rsidRPr="004436DF" w:rsidRDefault="00B0540E" w:rsidP="007F5E72">
            <w:pPr>
              <w:spacing w:after="0" w:line="240" w:lineRule="auto"/>
              <w:rPr>
                <w:rFonts w:ascii="Times New Roman" w:eastAsia="Times New Roman" w:hAnsi="Times New Roman"/>
                <w:bCs/>
                <w:sz w:val="20"/>
                <w:szCs w:val="20"/>
                <w:bdr w:val="none" w:sz="0" w:space="0" w:color="auto" w:frame="1"/>
                <w:lang w:eastAsia="bg-BG"/>
              </w:rPr>
            </w:pPr>
          </w:p>
        </w:tc>
        <w:tc>
          <w:tcPr>
            <w:tcW w:w="3960" w:type="dxa"/>
            <w:shd w:val="clear" w:color="auto" w:fill="auto"/>
          </w:tcPr>
          <w:p w14:paraId="3C90CEFC" w14:textId="72855C78" w:rsidR="00B0540E" w:rsidRPr="00D11AFE" w:rsidRDefault="007F5E72" w:rsidP="00D11AFE">
            <w:pPr>
              <w:pStyle w:val="ListParagraph"/>
              <w:numPr>
                <w:ilvl w:val="0"/>
                <w:numId w:val="2"/>
              </w:numPr>
              <w:spacing w:after="0" w:line="240" w:lineRule="auto"/>
              <w:ind w:left="-111" w:firstLine="0"/>
              <w:jc w:val="both"/>
              <w:rPr>
                <w:rFonts w:ascii="Times New Roman" w:eastAsia="Times New Roman" w:hAnsi="Times New Roman"/>
                <w:bCs/>
                <w:sz w:val="20"/>
                <w:szCs w:val="20"/>
                <w:bdr w:val="none" w:sz="0" w:space="0" w:color="auto" w:frame="1"/>
                <w:lang w:eastAsia="bg-BG"/>
              </w:rPr>
            </w:pPr>
            <w:r w:rsidRPr="00D11AFE">
              <w:rPr>
                <w:rFonts w:ascii="Times New Roman" w:eastAsia="Times New Roman" w:hAnsi="Times New Roman"/>
                <w:bCs/>
                <w:sz w:val="20"/>
                <w:szCs w:val="20"/>
                <w:bdr w:val="none" w:sz="0" w:space="0" w:color="auto" w:frame="1"/>
                <w:lang w:eastAsia="bg-BG"/>
              </w:rPr>
              <w:t>Публикувани изменения на чл.111 от Закона за горите (</w:t>
            </w:r>
            <w:proofErr w:type="spellStart"/>
            <w:r w:rsidRPr="00D11AFE">
              <w:rPr>
                <w:rFonts w:ascii="Times New Roman" w:eastAsia="Times New Roman" w:hAnsi="Times New Roman"/>
                <w:bCs/>
                <w:sz w:val="20"/>
                <w:szCs w:val="20"/>
                <w:bdr w:val="none" w:sz="0" w:space="0" w:color="auto" w:frame="1"/>
                <w:lang w:eastAsia="bg-BG"/>
              </w:rPr>
              <w:t>обн</w:t>
            </w:r>
            <w:proofErr w:type="spellEnd"/>
            <w:r w:rsidRPr="00D11AFE">
              <w:rPr>
                <w:rFonts w:ascii="Times New Roman" w:eastAsia="Times New Roman" w:hAnsi="Times New Roman"/>
                <w:bCs/>
                <w:sz w:val="20"/>
                <w:szCs w:val="20"/>
                <w:bdr w:val="none" w:sz="0" w:space="0" w:color="auto" w:frame="1"/>
                <w:lang w:eastAsia="bg-BG"/>
              </w:rPr>
              <w:t>., ДВ, бр.11 от 02.02.2023г. и ДВ, бр.67 от 04.08.2023г.)</w:t>
            </w:r>
          </w:p>
          <w:p w14:paraId="7EB49A3E" w14:textId="1C904A5E" w:rsidR="00D11AFE" w:rsidRPr="00D11AFE" w:rsidRDefault="00D11AFE" w:rsidP="00D11AFE">
            <w:pPr>
              <w:pStyle w:val="ListParagraph"/>
              <w:numPr>
                <w:ilvl w:val="0"/>
                <w:numId w:val="2"/>
              </w:numPr>
              <w:spacing w:after="0" w:line="240" w:lineRule="auto"/>
              <w:ind w:left="-111" w:firstLine="0"/>
              <w:jc w:val="both"/>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Д</w:t>
            </w:r>
            <w:r w:rsidRPr="00D11AFE">
              <w:rPr>
                <w:rFonts w:ascii="Times New Roman" w:eastAsia="Times New Roman" w:hAnsi="Times New Roman"/>
                <w:bCs/>
                <w:sz w:val="20"/>
                <w:szCs w:val="20"/>
                <w:bdr w:val="none" w:sz="0" w:space="0" w:color="auto" w:frame="1"/>
                <w:lang w:eastAsia="bg-BG"/>
              </w:rPr>
              <w:t>а</w:t>
            </w:r>
            <w:r>
              <w:rPr>
                <w:rFonts w:ascii="Times New Roman" w:eastAsia="Times New Roman" w:hAnsi="Times New Roman"/>
                <w:bCs/>
                <w:sz w:val="20"/>
                <w:szCs w:val="20"/>
                <w:bdr w:val="none" w:sz="0" w:space="0" w:color="auto" w:frame="1"/>
                <w:lang w:eastAsia="bg-BG"/>
              </w:rPr>
              <w:t>дени</w:t>
            </w:r>
            <w:r w:rsidRPr="00D11AFE">
              <w:rPr>
                <w:rFonts w:ascii="Times New Roman" w:eastAsia="Times New Roman" w:hAnsi="Times New Roman"/>
                <w:bCs/>
                <w:sz w:val="20"/>
                <w:szCs w:val="20"/>
                <w:bdr w:val="none" w:sz="0" w:space="0" w:color="auto" w:frame="1"/>
                <w:lang w:eastAsia="bg-BG"/>
              </w:rPr>
              <w:t xml:space="preserve"> указания от </w:t>
            </w:r>
            <w:r>
              <w:rPr>
                <w:rFonts w:ascii="Times New Roman" w:eastAsia="Times New Roman" w:hAnsi="Times New Roman"/>
                <w:bCs/>
                <w:sz w:val="20"/>
                <w:szCs w:val="20"/>
                <w:bdr w:val="none" w:sz="0" w:space="0" w:color="auto" w:frame="1"/>
                <w:lang w:eastAsia="bg-BG"/>
              </w:rPr>
              <w:t>МЗХ</w:t>
            </w:r>
            <w:r w:rsidRPr="00D11AFE">
              <w:rPr>
                <w:rFonts w:ascii="Times New Roman" w:eastAsia="Times New Roman" w:hAnsi="Times New Roman"/>
                <w:bCs/>
                <w:sz w:val="20"/>
                <w:szCs w:val="20"/>
                <w:bdr w:val="none" w:sz="0" w:space="0" w:color="auto" w:frame="1"/>
                <w:lang w:eastAsia="bg-BG"/>
              </w:rPr>
              <w:t xml:space="preserve"> до директорите на държавните предприятия</w:t>
            </w:r>
          </w:p>
        </w:tc>
      </w:tr>
    </w:tbl>
    <w:p w14:paraId="796BD55A" w14:textId="77777777" w:rsidR="00B0540E" w:rsidRDefault="00B0540E" w:rsidP="00B0540E">
      <w:pPr>
        <w:spacing w:after="0" w:line="240" w:lineRule="auto"/>
        <w:jc w:val="both"/>
        <w:rPr>
          <w:rFonts w:ascii="Times New Roman" w:eastAsia="Times New Roman" w:hAnsi="Times New Roman"/>
          <w:bCs/>
          <w:i/>
          <w:sz w:val="20"/>
          <w:szCs w:val="20"/>
          <w:bdr w:val="none" w:sz="0" w:space="0" w:color="auto" w:frame="1"/>
          <w:lang w:eastAsia="bg-BG"/>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1080"/>
        <w:gridCol w:w="3960"/>
      </w:tblGrid>
      <w:tr w:rsidR="00B0540E" w:rsidRPr="00D32427" w14:paraId="24FF7097" w14:textId="77777777" w:rsidTr="00834D89">
        <w:tc>
          <w:tcPr>
            <w:tcW w:w="4050" w:type="dxa"/>
          </w:tcPr>
          <w:p w14:paraId="38E4C852" w14:textId="77777777" w:rsidR="00B0540E" w:rsidRPr="00D32427" w:rsidRDefault="00B0540E" w:rsidP="00834D89">
            <w:pPr>
              <w:spacing w:after="0" w:line="240" w:lineRule="auto"/>
              <w:ind w:left="-104"/>
              <w:jc w:val="both"/>
              <w:rPr>
                <w:rFonts w:ascii="Times New Roman" w:eastAsia="Times New Roman" w:hAnsi="Times New Roman"/>
                <w:bCs/>
                <w:sz w:val="20"/>
                <w:szCs w:val="20"/>
                <w:bdr w:val="none" w:sz="0" w:space="0" w:color="auto" w:frame="1"/>
                <w:lang w:eastAsia="bg-BG"/>
              </w:rPr>
            </w:pPr>
            <w:r w:rsidRPr="00D32427">
              <w:rPr>
                <w:rFonts w:ascii="Times New Roman" w:eastAsia="Times New Roman" w:hAnsi="Times New Roman"/>
                <w:bCs/>
                <w:i/>
                <w:sz w:val="20"/>
                <w:szCs w:val="20"/>
                <w:bdr w:val="none" w:sz="0" w:space="0" w:color="auto" w:frame="1"/>
                <w:lang w:eastAsia="bg-BG"/>
              </w:rPr>
              <w:t>Показател за резултат</w:t>
            </w:r>
            <w:r w:rsidRPr="00D32427">
              <w:rPr>
                <w:rFonts w:ascii="Times New Roman" w:eastAsia="Times New Roman" w:hAnsi="Times New Roman"/>
                <w:bCs/>
                <w:sz w:val="20"/>
                <w:szCs w:val="20"/>
                <w:bdr w:val="none" w:sz="0" w:space="0" w:color="auto" w:frame="1"/>
                <w:lang w:eastAsia="bg-BG"/>
              </w:rPr>
              <w:t xml:space="preserve"> </w:t>
            </w:r>
            <w:r w:rsidRPr="00D32427">
              <w:rPr>
                <w:rFonts w:ascii="Times New Roman" w:eastAsia="Times New Roman" w:hAnsi="Times New Roman"/>
                <w:bCs/>
                <w:i/>
                <w:sz w:val="20"/>
                <w:szCs w:val="20"/>
                <w:bdr w:val="none" w:sz="0" w:space="0" w:color="auto" w:frame="1"/>
                <w:lang w:eastAsia="bg-BG"/>
              </w:rPr>
              <w:t xml:space="preserve">определен в Приложение </w:t>
            </w:r>
            <w:r w:rsidRPr="00D32427">
              <w:rPr>
                <w:rFonts w:ascii="Times New Roman" w:eastAsia="Times New Roman" w:hAnsi="Times New Roman"/>
                <w:bCs/>
                <w:i/>
                <w:sz w:val="20"/>
                <w:szCs w:val="20"/>
                <w:bdr w:val="none" w:sz="0" w:space="0" w:color="auto" w:frame="1"/>
                <w:lang w:val="en-US" w:eastAsia="bg-BG"/>
              </w:rPr>
              <w:t xml:space="preserve">XIV – </w:t>
            </w:r>
            <w:r w:rsidRPr="00D32427">
              <w:rPr>
                <w:rFonts w:ascii="Times New Roman" w:eastAsia="Times New Roman" w:hAnsi="Times New Roman"/>
                <w:bCs/>
                <w:i/>
                <w:sz w:val="20"/>
                <w:szCs w:val="20"/>
                <w:bdr w:val="none" w:sz="0" w:space="0" w:color="auto" w:frame="1"/>
                <w:lang w:eastAsia="bg-BG"/>
              </w:rPr>
              <w:t>„План за действие“ към НППКАВ</w:t>
            </w:r>
            <w:r w:rsidRPr="00D32427">
              <w:rPr>
                <w:rFonts w:ascii="Times New Roman" w:eastAsia="Times New Roman" w:hAnsi="Times New Roman"/>
                <w:bCs/>
                <w:i/>
                <w:sz w:val="20"/>
                <w:szCs w:val="20"/>
                <w:bdr w:val="none" w:sz="0" w:space="0" w:color="auto" w:frame="1"/>
                <w:lang w:val="en-US" w:eastAsia="bg-BG"/>
              </w:rPr>
              <w:t>:</w:t>
            </w:r>
          </w:p>
        </w:tc>
        <w:tc>
          <w:tcPr>
            <w:tcW w:w="1080" w:type="dxa"/>
          </w:tcPr>
          <w:p w14:paraId="3BE5B78C" w14:textId="77777777" w:rsidR="00B0540E" w:rsidRPr="00D32427" w:rsidRDefault="00B0540E"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p>
        </w:tc>
        <w:tc>
          <w:tcPr>
            <w:tcW w:w="3960" w:type="dxa"/>
          </w:tcPr>
          <w:p w14:paraId="76BF53D1" w14:textId="77777777" w:rsidR="00B0540E" w:rsidRPr="00D32427" w:rsidRDefault="00B0540E"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D32427">
              <w:rPr>
                <w:rFonts w:ascii="Times New Roman" w:eastAsia="Times New Roman" w:hAnsi="Times New Roman"/>
                <w:bCs/>
                <w:i/>
                <w:sz w:val="20"/>
                <w:szCs w:val="20"/>
                <w:bdr w:val="none" w:sz="0" w:space="0" w:color="auto" w:frame="1"/>
                <w:lang w:eastAsia="bg-BG"/>
              </w:rPr>
              <w:t>2023г.</w:t>
            </w:r>
          </w:p>
        </w:tc>
      </w:tr>
      <w:tr w:rsidR="00B0540E" w:rsidRPr="0092702E" w14:paraId="395860BE" w14:textId="77777777" w:rsidTr="00834D89">
        <w:tc>
          <w:tcPr>
            <w:tcW w:w="4050" w:type="dxa"/>
          </w:tcPr>
          <w:p w14:paraId="768F077A" w14:textId="77777777" w:rsidR="00B0540E" w:rsidRPr="00D32427" w:rsidRDefault="00B0540E"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D32427">
              <w:rPr>
                <w:rFonts w:ascii="Times New Roman" w:eastAsia="Times New Roman" w:hAnsi="Times New Roman"/>
                <w:bCs/>
                <w:sz w:val="20"/>
                <w:szCs w:val="20"/>
                <w:bdr w:val="none" w:sz="0" w:space="0" w:color="auto" w:frame="1"/>
                <w:lang w:eastAsia="bg-BG"/>
              </w:rPr>
              <w:t>Намалени емисии на ФПЧ от битово отопление</w:t>
            </w:r>
          </w:p>
        </w:tc>
        <w:tc>
          <w:tcPr>
            <w:tcW w:w="1080" w:type="dxa"/>
          </w:tcPr>
          <w:p w14:paraId="681EBD1E" w14:textId="77777777" w:rsidR="00B0540E" w:rsidRPr="00D32427" w:rsidRDefault="00B0540E" w:rsidP="00D05A8B">
            <w:pPr>
              <w:pStyle w:val="ListParagraph"/>
              <w:numPr>
                <w:ilvl w:val="0"/>
                <w:numId w:val="2"/>
              </w:numPr>
              <w:spacing w:after="0" w:line="240" w:lineRule="auto"/>
              <w:ind w:left="-108" w:firstLine="0"/>
              <w:jc w:val="center"/>
              <w:rPr>
                <w:rFonts w:ascii="Times New Roman" w:eastAsia="Times New Roman" w:hAnsi="Times New Roman"/>
                <w:bCs/>
                <w:sz w:val="20"/>
                <w:szCs w:val="20"/>
                <w:bdr w:val="none" w:sz="0" w:space="0" w:color="auto" w:frame="1"/>
                <w:lang w:eastAsia="bg-BG"/>
              </w:rPr>
            </w:pPr>
          </w:p>
        </w:tc>
        <w:tc>
          <w:tcPr>
            <w:tcW w:w="3960" w:type="dxa"/>
          </w:tcPr>
          <w:p w14:paraId="7AEEE1C6" w14:textId="0A6EDE3C" w:rsidR="00B0540E" w:rsidRPr="00D32427" w:rsidRDefault="00D05A8B" w:rsidP="007136A3">
            <w:pPr>
              <w:pStyle w:val="ListParagraph"/>
              <w:spacing w:after="0" w:line="240" w:lineRule="auto"/>
              <w:ind w:left="-108"/>
              <w:jc w:val="both"/>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 xml:space="preserve">Принос за намалени емисии на ФПЧ в резултат от използването на </w:t>
            </w:r>
            <w:proofErr w:type="spellStart"/>
            <w:r>
              <w:rPr>
                <w:rFonts w:ascii="Times New Roman" w:eastAsia="Times New Roman" w:hAnsi="Times New Roman"/>
                <w:bCs/>
                <w:sz w:val="20"/>
                <w:szCs w:val="20"/>
                <w:bdr w:val="none" w:sz="0" w:space="0" w:color="auto" w:frame="1"/>
                <w:lang w:eastAsia="bg-BG"/>
              </w:rPr>
              <w:t>просушена</w:t>
            </w:r>
            <w:proofErr w:type="spellEnd"/>
            <w:r>
              <w:rPr>
                <w:rFonts w:ascii="Times New Roman" w:eastAsia="Times New Roman" w:hAnsi="Times New Roman"/>
                <w:bCs/>
                <w:sz w:val="20"/>
                <w:szCs w:val="20"/>
                <w:bdr w:val="none" w:sz="0" w:space="0" w:color="auto" w:frame="1"/>
                <w:lang w:eastAsia="bg-BG"/>
              </w:rPr>
              <w:t xml:space="preserve"> дървесина за битово отопление.</w:t>
            </w:r>
          </w:p>
        </w:tc>
      </w:tr>
    </w:tbl>
    <w:p w14:paraId="73308021" w14:textId="3764E28E" w:rsidR="00B0540E" w:rsidRDefault="00B0540E"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4D211F5B" w14:textId="77777777" w:rsidR="00F02AC2" w:rsidRPr="006F0B09" w:rsidRDefault="00BE2B7D">
      <w:pPr>
        <w:tabs>
          <w:tab w:val="left" w:pos="0"/>
        </w:tabs>
        <w:spacing w:after="0" w:line="240" w:lineRule="auto"/>
        <w:jc w:val="both"/>
        <w:rPr>
          <w:rFonts w:ascii="Times New Roman" w:eastAsia="Times New Roman" w:hAnsi="Times New Roman"/>
          <w:b/>
          <w:bCs/>
          <w:sz w:val="24"/>
          <w:szCs w:val="24"/>
          <w:bdr w:val="none" w:sz="0" w:space="0" w:color="auto" w:frame="1"/>
          <w:lang w:eastAsia="bg-BG"/>
        </w:rPr>
      </w:pPr>
      <w:r w:rsidRPr="006F0B09">
        <w:rPr>
          <w:rFonts w:ascii="Times New Roman" w:eastAsia="Times New Roman" w:hAnsi="Times New Roman"/>
          <w:b/>
          <w:bCs/>
          <w:i/>
          <w:sz w:val="24"/>
          <w:szCs w:val="24"/>
          <w:bdr w:val="none" w:sz="0" w:space="0" w:color="auto" w:frame="1"/>
          <w:lang w:eastAsia="bg-BG"/>
        </w:rPr>
        <w:t>Мярка</w:t>
      </w:r>
      <w:r w:rsidRPr="006F0B09">
        <w:rPr>
          <w:rFonts w:ascii="Times New Roman" w:hAnsi="Times New Roman"/>
          <w:b/>
          <w:i/>
        </w:rPr>
        <w:t xml:space="preserve">: </w:t>
      </w:r>
      <w:r w:rsidR="00F02AC2" w:rsidRPr="006F0B09">
        <w:rPr>
          <w:rFonts w:ascii="Times New Roman" w:eastAsia="Times New Roman" w:hAnsi="Times New Roman"/>
          <w:b/>
          <w:bCs/>
          <w:sz w:val="24"/>
          <w:szCs w:val="24"/>
          <w:bdr w:val="none" w:sz="0" w:space="0" w:color="auto" w:frame="1"/>
          <w:lang w:eastAsia="bg-BG"/>
        </w:rPr>
        <w:t>Задължително поетапно извеждане от употреба на печки и котли на твърдо гориво, които не отговарят на изискванията на регламентите</w:t>
      </w:r>
      <w:r w:rsidRPr="006F0B09">
        <w:rPr>
          <w:rFonts w:ascii="Times New Roman" w:eastAsia="Times New Roman" w:hAnsi="Times New Roman"/>
          <w:b/>
          <w:bCs/>
          <w:sz w:val="24"/>
          <w:szCs w:val="24"/>
          <w:bdr w:val="none" w:sz="0" w:space="0" w:color="auto" w:frame="1"/>
          <w:lang w:eastAsia="bg-BG"/>
        </w:rPr>
        <w:t xml:space="preserve"> за </w:t>
      </w:r>
      <w:proofErr w:type="spellStart"/>
      <w:r w:rsidRPr="006F0B09">
        <w:rPr>
          <w:rFonts w:ascii="Times New Roman" w:eastAsia="Times New Roman" w:hAnsi="Times New Roman"/>
          <w:b/>
          <w:bCs/>
          <w:sz w:val="24"/>
          <w:szCs w:val="24"/>
          <w:bdr w:val="none" w:sz="0" w:space="0" w:color="auto" w:frame="1"/>
          <w:lang w:eastAsia="bg-BG"/>
        </w:rPr>
        <w:t>екодизайн</w:t>
      </w:r>
      <w:proofErr w:type="spellEnd"/>
      <w:r w:rsidRPr="006F0B09">
        <w:rPr>
          <w:rFonts w:ascii="Times New Roman" w:eastAsia="Times New Roman" w:hAnsi="Times New Roman"/>
          <w:b/>
          <w:bCs/>
          <w:sz w:val="24"/>
          <w:szCs w:val="24"/>
          <w:bdr w:val="none" w:sz="0" w:space="0" w:color="auto" w:frame="1"/>
          <w:lang w:eastAsia="bg-BG"/>
        </w:rPr>
        <w:t xml:space="preserve"> (включително ЗНЕ)</w:t>
      </w:r>
    </w:p>
    <w:p w14:paraId="2B063A8D" w14:textId="77777777" w:rsidR="00247478" w:rsidRDefault="00247478" w:rsidP="00613A9A">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6556FBC9" w14:textId="6E0E05ED" w:rsidR="00613A9A" w:rsidRDefault="00613A9A" w:rsidP="00613A9A">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В процес на изпълнение.</w:t>
      </w:r>
    </w:p>
    <w:p w14:paraId="085C723C" w14:textId="0537BB3E" w:rsidR="00DA12C6" w:rsidRDefault="00C56DE4"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П</w:t>
      </w:r>
      <w:r w:rsidR="00425464" w:rsidRPr="006F0B09">
        <w:rPr>
          <w:rFonts w:ascii="Times New Roman" w:eastAsia="Times New Roman" w:hAnsi="Times New Roman"/>
          <w:bCs/>
          <w:sz w:val="24"/>
          <w:szCs w:val="24"/>
          <w:bdr w:val="none" w:sz="0" w:space="0" w:color="auto" w:frame="1"/>
          <w:lang w:eastAsia="bg-BG"/>
        </w:rPr>
        <w:t xml:space="preserve">роекти и дейности, които съответстват на </w:t>
      </w:r>
      <w:r>
        <w:rPr>
          <w:rFonts w:ascii="Times New Roman" w:eastAsia="Times New Roman" w:hAnsi="Times New Roman"/>
          <w:bCs/>
          <w:sz w:val="24"/>
          <w:szCs w:val="24"/>
          <w:bdr w:val="none" w:sz="0" w:space="0" w:color="auto" w:frame="1"/>
          <w:lang w:eastAsia="bg-BG"/>
        </w:rPr>
        <w:t xml:space="preserve">прилагането на </w:t>
      </w:r>
      <w:r w:rsidR="00425464" w:rsidRPr="006F0B09">
        <w:rPr>
          <w:rFonts w:ascii="Times New Roman" w:eastAsia="Times New Roman" w:hAnsi="Times New Roman"/>
          <w:bCs/>
          <w:sz w:val="24"/>
          <w:szCs w:val="24"/>
          <w:bdr w:val="none" w:sz="0" w:space="0" w:color="auto" w:frame="1"/>
          <w:lang w:eastAsia="bg-BG"/>
        </w:rPr>
        <w:t xml:space="preserve">тази мярка в сектор битово отопление, </w:t>
      </w:r>
      <w:r w:rsidR="00DA12C6" w:rsidRPr="00DA12C6">
        <w:rPr>
          <w:rFonts w:ascii="Times New Roman" w:eastAsia="Times New Roman" w:hAnsi="Times New Roman"/>
          <w:bCs/>
          <w:sz w:val="24"/>
          <w:szCs w:val="24"/>
          <w:bdr w:val="none" w:sz="0" w:space="0" w:color="auto" w:frame="1"/>
          <w:lang w:eastAsia="bg-BG"/>
        </w:rPr>
        <w:t xml:space="preserve">се изпълняваха по Оперативна програма „Околна среда“ 2014 – 2020г., като финансиране </w:t>
      </w:r>
      <w:r>
        <w:rPr>
          <w:rFonts w:ascii="Times New Roman" w:eastAsia="Times New Roman" w:hAnsi="Times New Roman"/>
          <w:bCs/>
          <w:sz w:val="24"/>
          <w:szCs w:val="24"/>
          <w:bdr w:val="none" w:sz="0" w:space="0" w:color="auto" w:frame="1"/>
          <w:lang w:eastAsia="bg-BG"/>
        </w:rPr>
        <w:t xml:space="preserve">за продължаване на прилагането ѝ </w:t>
      </w:r>
      <w:r w:rsidR="00DA12C6" w:rsidRPr="00DA12C6">
        <w:rPr>
          <w:rFonts w:ascii="Times New Roman" w:eastAsia="Times New Roman" w:hAnsi="Times New Roman"/>
          <w:bCs/>
          <w:sz w:val="24"/>
          <w:szCs w:val="24"/>
          <w:bdr w:val="none" w:sz="0" w:space="0" w:color="auto" w:frame="1"/>
          <w:lang w:eastAsia="bg-BG"/>
        </w:rPr>
        <w:t>е предвидено и по Програма „Околна среда“ 2021 – 2027г.</w:t>
      </w:r>
      <w:r w:rsidR="00DA12C6">
        <w:rPr>
          <w:rFonts w:ascii="Times New Roman" w:eastAsia="Times New Roman" w:hAnsi="Times New Roman"/>
          <w:bCs/>
          <w:sz w:val="24"/>
          <w:szCs w:val="24"/>
          <w:bdr w:val="none" w:sz="0" w:space="0" w:color="auto" w:frame="1"/>
          <w:lang w:eastAsia="bg-BG"/>
        </w:rPr>
        <w:t xml:space="preserve"> </w:t>
      </w:r>
    </w:p>
    <w:p w14:paraId="5D972A7B" w14:textId="7CC83A5B" w:rsidR="005D3BFF" w:rsidRPr="006F0B09" w:rsidRDefault="00140355" w:rsidP="005D3BFF">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През 2023г. приключи</w:t>
      </w:r>
      <w:r w:rsidR="00214457">
        <w:rPr>
          <w:rFonts w:ascii="Times New Roman" w:eastAsia="Times New Roman" w:hAnsi="Times New Roman"/>
          <w:bCs/>
          <w:sz w:val="24"/>
          <w:szCs w:val="24"/>
          <w:bdr w:val="none" w:sz="0" w:space="0" w:color="auto" w:frame="1"/>
          <w:lang w:eastAsia="bg-BG"/>
        </w:rPr>
        <w:t xml:space="preserve"> изпълнението на проектите по</w:t>
      </w:r>
      <w:r>
        <w:rPr>
          <w:rFonts w:ascii="Times New Roman" w:eastAsia="Times New Roman" w:hAnsi="Times New Roman"/>
          <w:bCs/>
          <w:sz w:val="24"/>
          <w:szCs w:val="24"/>
          <w:bdr w:val="none" w:sz="0" w:space="0" w:color="auto" w:frame="1"/>
          <w:lang w:eastAsia="bg-BG"/>
        </w:rPr>
        <w:t xml:space="preserve"> </w:t>
      </w:r>
      <w:r w:rsidR="00425464" w:rsidRPr="006F0B09">
        <w:rPr>
          <w:rFonts w:ascii="Times New Roman" w:eastAsia="Times New Roman" w:hAnsi="Times New Roman"/>
          <w:bCs/>
          <w:sz w:val="24"/>
          <w:szCs w:val="24"/>
          <w:bdr w:val="none" w:sz="0" w:space="0" w:color="auto" w:frame="1"/>
          <w:lang w:eastAsia="bg-BG"/>
        </w:rPr>
        <w:t xml:space="preserve">процедура </w:t>
      </w:r>
      <w:bookmarkStart w:id="9" w:name="_Hlk125732981"/>
      <w:r w:rsidR="00425464" w:rsidRPr="006F0B09">
        <w:rPr>
          <w:rFonts w:ascii="Times New Roman" w:eastAsia="Times New Roman" w:hAnsi="Times New Roman"/>
          <w:bCs/>
          <w:sz w:val="24"/>
          <w:szCs w:val="24"/>
          <w:bdr w:val="none" w:sz="0" w:space="0" w:color="auto" w:frame="1"/>
          <w:lang w:eastAsia="bg-BG"/>
        </w:rPr>
        <w:t xml:space="preserve">№ BG16M1OP002-5.003 „Мерки за подобряване качеството на атмосферния въздух“ </w:t>
      </w:r>
      <w:bookmarkEnd w:id="9"/>
      <w:r w:rsidR="00425464" w:rsidRPr="006F0B09">
        <w:rPr>
          <w:rFonts w:ascii="Times New Roman" w:eastAsia="Times New Roman" w:hAnsi="Times New Roman"/>
          <w:bCs/>
          <w:sz w:val="24"/>
          <w:szCs w:val="24"/>
          <w:bdr w:val="none" w:sz="0" w:space="0" w:color="auto" w:frame="1"/>
          <w:lang w:eastAsia="bg-BG"/>
        </w:rPr>
        <w:t>на Оперативна програма „Околна среда</w:t>
      </w:r>
      <w:r w:rsidR="000151BD">
        <w:rPr>
          <w:rFonts w:ascii="Times New Roman" w:eastAsia="Times New Roman" w:hAnsi="Times New Roman"/>
          <w:bCs/>
          <w:sz w:val="24"/>
          <w:szCs w:val="24"/>
          <w:bdr w:val="none" w:sz="0" w:space="0" w:color="auto" w:frame="1"/>
          <w:lang w:eastAsia="bg-BG"/>
        </w:rPr>
        <w:t>“</w:t>
      </w:r>
      <w:r w:rsidR="00425464" w:rsidRPr="006F0B09">
        <w:rPr>
          <w:rFonts w:ascii="Times New Roman" w:eastAsia="Times New Roman" w:hAnsi="Times New Roman"/>
          <w:bCs/>
          <w:sz w:val="24"/>
          <w:szCs w:val="24"/>
          <w:bdr w:val="none" w:sz="0" w:space="0" w:color="auto" w:frame="1"/>
          <w:lang w:eastAsia="bg-BG"/>
        </w:rPr>
        <w:t xml:space="preserve"> 2014 </w:t>
      </w:r>
      <w:r w:rsidR="000151BD">
        <w:rPr>
          <w:rFonts w:ascii="Times New Roman" w:eastAsia="Times New Roman" w:hAnsi="Times New Roman"/>
          <w:bCs/>
          <w:sz w:val="24"/>
          <w:szCs w:val="24"/>
          <w:bdr w:val="none" w:sz="0" w:space="0" w:color="auto" w:frame="1"/>
          <w:lang w:eastAsia="bg-BG"/>
        </w:rPr>
        <w:t>–</w:t>
      </w:r>
      <w:r w:rsidR="00D85988">
        <w:rPr>
          <w:rFonts w:ascii="Times New Roman" w:eastAsia="Times New Roman" w:hAnsi="Times New Roman"/>
          <w:bCs/>
          <w:sz w:val="24"/>
          <w:szCs w:val="24"/>
          <w:bdr w:val="none" w:sz="0" w:space="0" w:color="auto" w:frame="1"/>
          <w:lang w:eastAsia="bg-BG"/>
        </w:rPr>
        <w:t xml:space="preserve"> </w:t>
      </w:r>
      <w:r w:rsidR="00425464" w:rsidRPr="006F0B09">
        <w:rPr>
          <w:rFonts w:ascii="Times New Roman" w:eastAsia="Times New Roman" w:hAnsi="Times New Roman"/>
          <w:bCs/>
          <w:sz w:val="24"/>
          <w:szCs w:val="24"/>
          <w:bdr w:val="none" w:sz="0" w:space="0" w:color="auto" w:frame="1"/>
          <w:lang w:eastAsia="bg-BG"/>
        </w:rPr>
        <w:t>2020г.</w:t>
      </w:r>
      <w:r>
        <w:rPr>
          <w:rFonts w:ascii="Times New Roman" w:eastAsia="Times New Roman" w:hAnsi="Times New Roman"/>
          <w:bCs/>
          <w:sz w:val="24"/>
          <w:szCs w:val="24"/>
          <w:bdr w:val="none" w:sz="0" w:space="0" w:color="auto" w:frame="1"/>
          <w:lang w:eastAsia="bg-BG"/>
        </w:rPr>
        <w:t>, по която б</w:t>
      </w:r>
      <w:r w:rsidR="00425464" w:rsidRPr="006F0B09">
        <w:rPr>
          <w:rFonts w:ascii="Times New Roman" w:eastAsia="Times New Roman" w:hAnsi="Times New Roman"/>
          <w:bCs/>
          <w:sz w:val="24"/>
          <w:szCs w:val="24"/>
          <w:bdr w:val="none" w:sz="0" w:space="0" w:color="auto" w:frame="1"/>
          <w:lang w:eastAsia="bg-BG"/>
        </w:rPr>
        <w:t xml:space="preserve">енефициенти </w:t>
      </w:r>
      <w:r>
        <w:rPr>
          <w:rFonts w:ascii="Times New Roman" w:eastAsia="Times New Roman" w:hAnsi="Times New Roman"/>
          <w:bCs/>
          <w:sz w:val="24"/>
          <w:szCs w:val="24"/>
          <w:bdr w:val="none" w:sz="0" w:space="0" w:color="auto" w:frame="1"/>
          <w:lang w:eastAsia="bg-BG"/>
        </w:rPr>
        <w:t>бяха</w:t>
      </w:r>
      <w:r w:rsidR="00425464" w:rsidRPr="006F0B09">
        <w:rPr>
          <w:rFonts w:ascii="Times New Roman" w:eastAsia="Times New Roman" w:hAnsi="Times New Roman"/>
          <w:bCs/>
          <w:sz w:val="24"/>
          <w:szCs w:val="24"/>
          <w:bdr w:val="none" w:sz="0" w:space="0" w:color="auto" w:frame="1"/>
          <w:lang w:eastAsia="bg-BG"/>
        </w:rPr>
        <w:t xml:space="preserve"> общини</w:t>
      </w:r>
      <w:r>
        <w:rPr>
          <w:rFonts w:ascii="Times New Roman" w:eastAsia="Times New Roman" w:hAnsi="Times New Roman"/>
          <w:bCs/>
          <w:sz w:val="24"/>
          <w:szCs w:val="24"/>
          <w:bdr w:val="none" w:sz="0" w:space="0" w:color="auto" w:frame="1"/>
          <w:lang w:eastAsia="bg-BG"/>
        </w:rPr>
        <w:t>те</w:t>
      </w:r>
      <w:r w:rsidR="00425464" w:rsidRPr="006F0B09">
        <w:rPr>
          <w:rFonts w:ascii="Times New Roman" w:eastAsia="Times New Roman" w:hAnsi="Times New Roman"/>
          <w:bCs/>
          <w:sz w:val="24"/>
          <w:szCs w:val="24"/>
          <w:bdr w:val="none" w:sz="0" w:space="0" w:color="auto" w:frame="1"/>
          <w:lang w:eastAsia="bg-BG"/>
        </w:rPr>
        <w:t xml:space="preserve"> с нарушено качество на атмосферния въздух по показател фини </w:t>
      </w:r>
      <w:proofErr w:type="spellStart"/>
      <w:r w:rsidR="00425464" w:rsidRPr="006F0B09">
        <w:rPr>
          <w:rFonts w:ascii="Times New Roman" w:eastAsia="Times New Roman" w:hAnsi="Times New Roman"/>
          <w:bCs/>
          <w:sz w:val="24"/>
          <w:szCs w:val="24"/>
          <w:bdr w:val="none" w:sz="0" w:space="0" w:color="auto" w:frame="1"/>
          <w:lang w:eastAsia="bg-BG"/>
        </w:rPr>
        <w:t>прахови</w:t>
      </w:r>
      <w:proofErr w:type="spellEnd"/>
      <w:r w:rsidR="00425464" w:rsidRPr="006F0B09">
        <w:rPr>
          <w:rFonts w:ascii="Times New Roman" w:eastAsia="Times New Roman" w:hAnsi="Times New Roman"/>
          <w:bCs/>
          <w:sz w:val="24"/>
          <w:szCs w:val="24"/>
          <w:bdr w:val="none" w:sz="0" w:space="0" w:color="auto" w:frame="1"/>
          <w:lang w:eastAsia="bg-BG"/>
        </w:rPr>
        <w:t xml:space="preserve"> частици: Бургас, Видин, Димитровград, Монтана, Пловдив, Смолян</w:t>
      </w:r>
      <w:r w:rsidR="00F03D9A" w:rsidRPr="006F0B09">
        <w:rPr>
          <w:rFonts w:ascii="Times New Roman" w:eastAsia="Times New Roman" w:hAnsi="Times New Roman"/>
          <w:bCs/>
          <w:sz w:val="24"/>
          <w:szCs w:val="24"/>
          <w:bdr w:val="none" w:sz="0" w:space="0" w:color="auto" w:frame="1"/>
          <w:lang w:eastAsia="bg-BG"/>
        </w:rPr>
        <w:t>, Горна Оряховица</w:t>
      </w:r>
      <w:r w:rsidR="00425464" w:rsidRPr="006F0B09">
        <w:rPr>
          <w:rFonts w:ascii="Times New Roman" w:eastAsia="Times New Roman" w:hAnsi="Times New Roman"/>
          <w:bCs/>
          <w:sz w:val="24"/>
          <w:szCs w:val="24"/>
          <w:bdr w:val="none" w:sz="0" w:space="0" w:color="auto" w:frame="1"/>
          <w:lang w:eastAsia="bg-BG"/>
        </w:rPr>
        <w:t xml:space="preserve"> и Столична община. </w:t>
      </w:r>
      <w:r w:rsidR="005D3BFF" w:rsidRPr="006F0B09">
        <w:rPr>
          <w:rFonts w:ascii="Times New Roman" w:eastAsia="Times New Roman" w:hAnsi="Times New Roman"/>
          <w:bCs/>
          <w:sz w:val="24"/>
          <w:szCs w:val="24"/>
          <w:bdr w:val="none" w:sz="0" w:space="0" w:color="auto" w:frame="1"/>
          <w:lang w:eastAsia="bg-BG"/>
        </w:rPr>
        <w:t>С процедурата се осигур</w:t>
      </w:r>
      <w:r w:rsidR="005D3BFF">
        <w:rPr>
          <w:rFonts w:ascii="Times New Roman" w:eastAsia="Times New Roman" w:hAnsi="Times New Roman"/>
          <w:bCs/>
          <w:sz w:val="24"/>
          <w:szCs w:val="24"/>
          <w:bdr w:val="none" w:sz="0" w:space="0" w:color="auto" w:frame="1"/>
          <w:lang w:eastAsia="bg-BG"/>
        </w:rPr>
        <w:t>и</w:t>
      </w:r>
      <w:r w:rsidR="005D3BFF" w:rsidRPr="006F0B09">
        <w:rPr>
          <w:rFonts w:ascii="Times New Roman" w:eastAsia="Times New Roman" w:hAnsi="Times New Roman"/>
          <w:bCs/>
          <w:sz w:val="24"/>
          <w:szCs w:val="24"/>
          <w:bdr w:val="none" w:sz="0" w:space="0" w:color="auto" w:frame="1"/>
          <w:lang w:eastAsia="bg-BG"/>
        </w:rPr>
        <w:t xml:space="preserve"> финансиране на мерки, насочени към намаляване нивата на ФПЧ</w:t>
      </w:r>
      <w:r w:rsidR="005D3BFF" w:rsidRPr="001268D9">
        <w:rPr>
          <w:rFonts w:ascii="Times New Roman" w:eastAsia="Times New Roman" w:hAnsi="Times New Roman"/>
          <w:bCs/>
          <w:sz w:val="24"/>
          <w:szCs w:val="24"/>
          <w:bdr w:val="none" w:sz="0" w:space="0" w:color="auto" w:frame="1"/>
          <w:vertAlign w:val="subscript"/>
          <w:lang w:eastAsia="bg-BG"/>
        </w:rPr>
        <w:t>10</w:t>
      </w:r>
      <w:r w:rsidR="005D3BFF" w:rsidRPr="006F0B09">
        <w:rPr>
          <w:rFonts w:ascii="Times New Roman" w:eastAsia="Times New Roman" w:hAnsi="Times New Roman"/>
          <w:bCs/>
          <w:sz w:val="24"/>
          <w:szCs w:val="24"/>
          <w:bdr w:val="none" w:sz="0" w:space="0" w:color="auto" w:frame="1"/>
          <w:lang w:eastAsia="bg-BG"/>
        </w:rPr>
        <w:t xml:space="preserve"> от битовото отопление</w:t>
      </w:r>
      <w:r w:rsidR="005D3BFF">
        <w:rPr>
          <w:rFonts w:ascii="Times New Roman" w:eastAsia="Times New Roman" w:hAnsi="Times New Roman"/>
          <w:bCs/>
          <w:sz w:val="24"/>
          <w:szCs w:val="24"/>
          <w:bdr w:val="none" w:sz="0" w:space="0" w:color="auto" w:frame="1"/>
          <w:lang w:eastAsia="bg-BG"/>
        </w:rPr>
        <w:t>,</w:t>
      </w:r>
      <w:r w:rsidR="005D3BFF" w:rsidRPr="006F0B09">
        <w:rPr>
          <w:rFonts w:ascii="Times New Roman" w:eastAsia="Times New Roman" w:hAnsi="Times New Roman"/>
          <w:bCs/>
          <w:sz w:val="24"/>
          <w:szCs w:val="24"/>
          <w:bdr w:val="none" w:sz="0" w:space="0" w:color="auto" w:frame="1"/>
          <w:lang w:eastAsia="bg-BG"/>
        </w:rPr>
        <w:t xml:space="preserve"> чрез подмяна на отоплителни устройства на твърдо гориво (дърва и въглища) с: </w:t>
      </w:r>
    </w:p>
    <w:p w14:paraId="0B45A3DA" w14:textId="77777777" w:rsidR="005D3BFF" w:rsidRPr="006F0B09" w:rsidRDefault="005D3BFF" w:rsidP="005D3BF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6F0B09">
        <w:rPr>
          <w:rFonts w:ascii="Times New Roman" w:eastAsia="Times New Roman" w:hAnsi="Times New Roman"/>
          <w:bCs/>
          <w:sz w:val="24"/>
          <w:szCs w:val="24"/>
          <w:bdr w:val="none" w:sz="0" w:space="0" w:color="auto" w:frame="1"/>
          <w:lang w:eastAsia="bg-BG"/>
        </w:rPr>
        <w:t xml:space="preserve">− друг вид отоплителни устройства: на газ; използващи електричество; на </w:t>
      </w:r>
      <w:proofErr w:type="spellStart"/>
      <w:r w:rsidRPr="006F0B09">
        <w:rPr>
          <w:rFonts w:ascii="Times New Roman" w:eastAsia="Times New Roman" w:hAnsi="Times New Roman"/>
          <w:bCs/>
          <w:sz w:val="24"/>
          <w:szCs w:val="24"/>
          <w:bdr w:val="none" w:sz="0" w:space="0" w:color="auto" w:frame="1"/>
          <w:lang w:eastAsia="bg-BG"/>
        </w:rPr>
        <w:t>пелети</w:t>
      </w:r>
      <w:proofErr w:type="spellEnd"/>
      <w:r w:rsidRPr="006F0B09">
        <w:rPr>
          <w:rFonts w:ascii="Times New Roman" w:eastAsia="Times New Roman" w:hAnsi="Times New Roman"/>
          <w:bCs/>
          <w:sz w:val="24"/>
          <w:szCs w:val="24"/>
          <w:bdr w:val="none" w:sz="0" w:space="0" w:color="auto" w:frame="1"/>
          <w:lang w:eastAsia="bg-BG"/>
        </w:rPr>
        <w:t xml:space="preserve"> или друг вид дървесна биомаса/изкопаемо твърдо гориво, когато новите устройства отговарят на техническите параметри за </w:t>
      </w:r>
      <w:proofErr w:type="spellStart"/>
      <w:r w:rsidRPr="006F0B09">
        <w:rPr>
          <w:rFonts w:ascii="Times New Roman" w:eastAsia="Times New Roman" w:hAnsi="Times New Roman"/>
          <w:bCs/>
          <w:sz w:val="24"/>
          <w:szCs w:val="24"/>
          <w:bdr w:val="none" w:sz="0" w:space="0" w:color="auto" w:frame="1"/>
          <w:lang w:eastAsia="bg-BG"/>
        </w:rPr>
        <w:t>екодизайн</w:t>
      </w:r>
      <w:proofErr w:type="spellEnd"/>
      <w:r w:rsidRPr="006F0B09">
        <w:rPr>
          <w:rFonts w:ascii="Times New Roman" w:eastAsia="Times New Roman" w:hAnsi="Times New Roman"/>
          <w:bCs/>
          <w:sz w:val="24"/>
          <w:szCs w:val="24"/>
          <w:bdr w:val="none" w:sz="0" w:space="0" w:color="auto" w:frame="1"/>
          <w:lang w:eastAsia="bg-BG"/>
        </w:rPr>
        <w:t>;</w:t>
      </w:r>
    </w:p>
    <w:p w14:paraId="09AB9CA5" w14:textId="77777777" w:rsidR="005D3BFF" w:rsidRDefault="005D3BFF" w:rsidP="005D3BF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6F0B09">
        <w:rPr>
          <w:rFonts w:ascii="Times New Roman" w:eastAsia="Times New Roman" w:hAnsi="Times New Roman"/>
          <w:bCs/>
          <w:sz w:val="24"/>
          <w:szCs w:val="24"/>
          <w:bdr w:val="none" w:sz="0" w:space="0" w:color="auto" w:frame="1"/>
          <w:lang w:eastAsia="bg-BG"/>
        </w:rPr>
        <w:t xml:space="preserve">− с алтернативни източници на топлинна енергия – свързване или възстановяване на връзката към топлофикационна система или </w:t>
      </w:r>
      <w:proofErr w:type="spellStart"/>
      <w:r w:rsidRPr="006F0B09">
        <w:rPr>
          <w:rFonts w:ascii="Times New Roman" w:eastAsia="Times New Roman" w:hAnsi="Times New Roman"/>
          <w:bCs/>
          <w:sz w:val="24"/>
          <w:szCs w:val="24"/>
          <w:bdr w:val="none" w:sz="0" w:space="0" w:color="auto" w:frame="1"/>
          <w:lang w:eastAsia="bg-BG"/>
        </w:rPr>
        <w:t>газоразпределителна</w:t>
      </w:r>
      <w:proofErr w:type="spellEnd"/>
      <w:r w:rsidRPr="006F0B09">
        <w:rPr>
          <w:rFonts w:ascii="Times New Roman" w:eastAsia="Times New Roman" w:hAnsi="Times New Roman"/>
          <w:bCs/>
          <w:sz w:val="24"/>
          <w:szCs w:val="24"/>
          <w:bdr w:val="none" w:sz="0" w:space="0" w:color="auto" w:frame="1"/>
          <w:lang w:eastAsia="bg-BG"/>
        </w:rPr>
        <w:t xml:space="preserve"> мрежа. </w:t>
      </w:r>
    </w:p>
    <w:p w14:paraId="17A50D22" w14:textId="40B72B6D" w:rsidR="00214457" w:rsidRPr="00214457" w:rsidRDefault="00214457" w:rsidP="005D3BFF">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Като</w:t>
      </w:r>
      <w:r w:rsidRPr="00214457">
        <w:rPr>
          <w:rFonts w:ascii="Times New Roman" w:eastAsia="Times New Roman" w:hAnsi="Times New Roman"/>
          <w:bCs/>
          <w:sz w:val="24"/>
          <w:szCs w:val="24"/>
          <w:bdr w:val="none" w:sz="0" w:space="0" w:color="auto" w:frame="1"/>
          <w:lang w:eastAsia="bg-BG"/>
        </w:rPr>
        <w:t xml:space="preserve"> резултат</w:t>
      </w:r>
      <w:r>
        <w:rPr>
          <w:rFonts w:ascii="Times New Roman" w:eastAsia="Times New Roman" w:hAnsi="Times New Roman"/>
          <w:bCs/>
          <w:sz w:val="24"/>
          <w:szCs w:val="24"/>
          <w:bdr w:val="none" w:sz="0" w:space="0" w:color="auto" w:frame="1"/>
          <w:lang w:eastAsia="bg-BG"/>
        </w:rPr>
        <w:t>,</w:t>
      </w:r>
      <w:r w:rsidRPr="00214457">
        <w:rPr>
          <w:rFonts w:ascii="Times New Roman" w:eastAsia="Times New Roman" w:hAnsi="Times New Roman"/>
          <w:bCs/>
          <w:sz w:val="24"/>
          <w:szCs w:val="24"/>
          <w:bdr w:val="none" w:sz="0" w:space="0" w:color="auto" w:frame="1"/>
          <w:lang w:eastAsia="bg-BG"/>
        </w:rPr>
        <w:t xml:space="preserve"> с екологични алтернативи са подменени </w:t>
      </w:r>
      <w:proofErr w:type="spellStart"/>
      <w:r w:rsidRPr="00214457">
        <w:rPr>
          <w:rFonts w:ascii="Times New Roman" w:eastAsia="Times New Roman" w:hAnsi="Times New Roman"/>
          <w:bCs/>
          <w:sz w:val="24"/>
          <w:szCs w:val="24"/>
          <w:bdr w:val="none" w:sz="0" w:space="0" w:color="auto" w:frame="1"/>
          <w:lang w:eastAsia="bg-BG"/>
        </w:rPr>
        <w:t>високоемисионните</w:t>
      </w:r>
      <w:proofErr w:type="spellEnd"/>
      <w:r w:rsidRPr="00214457">
        <w:rPr>
          <w:rFonts w:ascii="Times New Roman" w:eastAsia="Times New Roman" w:hAnsi="Times New Roman"/>
          <w:bCs/>
          <w:sz w:val="24"/>
          <w:szCs w:val="24"/>
          <w:bdr w:val="none" w:sz="0" w:space="0" w:color="auto" w:frame="1"/>
          <w:lang w:eastAsia="bg-BG"/>
        </w:rPr>
        <w:t xml:space="preserve"> отоплителни уреди на твърдо гориво на 27</w:t>
      </w:r>
      <w:r w:rsidR="00036B3F">
        <w:rPr>
          <w:rFonts w:ascii="Times New Roman" w:eastAsia="Times New Roman" w:hAnsi="Times New Roman"/>
          <w:bCs/>
          <w:sz w:val="24"/>
          <w:szCs w:val="24"/>
          <w:bdr w:val="none" w:sz="0" w:space="0" w:color="auto" w:frame="1"/>
          <w:lang w:eastAsia="bg-BG"/>
        </w:rPr>
        <w:t xml:space="preserve"> </w:t>
      </w:r>
      <w:r w:rsidRPr="00214457">
        <w:rPr>
          <w:rFonts w:ascii="Times New Roman" w:eastAsia="Times New Roman" w:hAnsi="Times New Roman"/>
          <w:bCs/>
          <w:sz w:val="24"/>
          <w:szCs w:val="24"/>
          <w:bdr w:val="none" w:sz="0" w:space="0" w:color="auto" w:frame="1"/>
          <w:lang w:eastAsia="bg-BG"/>
        </w:rPr>
        <w:t xml:space="preserve">151 домакинства в </w:t>
      </w:r>
      <w:r>
        <w:rPr>
          <w:rFonts w:ascii="Times New Roman" w:eastAsia="Times New Roman" w:hAnsi="Times New Roman"/>
          <w:bCs/>
          <w:sz w:val="24"/>
          <w:szCs w:val="24"/>
          <w:bdr w:val="none" w:sz="0" w:space="0" w:color="auto" w:frame="1"/>
          <w:lang w:eastAsia="bg-BG"/>
        </w:rPr>
        <w:t xml:space="preserve">посочените </w:t>
      </w:r>
      <w:r w:rsidRPr="00214457">
        <w:rPr>
          <w:rFonts w:ascii="Times New Roman" w:eastAsia="Times New Roman" w:hAnsi="Times New Roman"/>
          <w:bCs/>
          <w:sz w:val="24"/>
          <w:szCs w:val="24"/>
          <w:bdr w:val="none" w:sz="0" w:space="0" w:color="auto" w:frame="1"/>
          <w:lang w:eastAsia="bg-BG"/>
        </w:rPr>
        <w:t>8 общини</w:t>
      </w:r>
      <w:r w:rsidR="00FA6E19">
        <w:rPr>
          <w:rFonts w:ascii="Times New Roman" w:eastAsia="Times New Roman" w:hAnsi="Times New Roman"/>
          <w:bCs/>
          <w:sz w:val="24"/>
          <w:szCs w:val="24"/>
          <w:bdr w:val="none" w:sz="0" w:space="0" w:color="auto" w:frame="1"/>
          <w:lang w:eastAsia="bg-BG"/>
        </w:rPr>
        <w:t xml:space="preserve">. Информацията е </w:t>
      </w:r>
      <w:r w:rsidR="0065224B">
        <w:rPr>
          <w:rFonts w:ascii="Times New Roman" w:eastAsia="Times New Roman" w:hAnsi="Times New Roman"/>
          <w:bCs/>
          <w:sz w:val="24"/>
          <w:szCs w:val="24"/>
          <w:bdr w:val="none" w:sz="0" w:space="0" w:color="auto" w:frame="1"/>
          <w:lang w:eastAsia="bg-BG"/>
        </w:rPr>
        <w:t>по данни от Главна дирекция Оперативна програма „Околна среда“</w:t>
      </w:r>
      <w:r w:rsidR="00FA6E19" w:rsidRPr="00FA6E19">
        <w:rPr>
          <w:rFonts w:ascii="Times New Roman" w:eastAsia="Times New Roman" w:hAnsi="Times New Roman"/>
          <w:bCs/>
          <w:sz w:val="24"/>
          <w:szCs w:val="24"/>
          <w:bdr w:val="none" w:sz="0" w:space="0" w:color="auto" w:frame="1"/>
          <w:lang w:eastAsia="bg-BG"/>
        </w:rPr>
        <w:t xml:space="preserve"> </w:t>
      </w:r>
      <w:r w:rsidR="00FA6E19">
        <w:rPr>
          <w:rFonts w:ascii="Times New Roman" w:eastAsia="Times New Roman" w:hAnsi="Times New Roman"/>
          <w:bCs/>
          <w:sz w:val="24"/>
          <w:szCs w:val="24"/>
          <w:bdr w:val="none" w:sz="0" w:space="0" w:color="auto" w:frame="1"/>
          <w:lang w:eastAsia="bg-BG"/>
        </w:rPr>
        <w:t>и е базира</w:t>
      </w:r>
      <w:r w:rsidR="00C56DE4">
        <w:rPr>
          <w:rFonts w:ascii="Times New Roman" w:eastAsia="Times New Roman" w:hAnsi="Times New Roman"/>
          <w:bCs/>
          <w:sz w:val="24"/>
          <w:szCs w:val="24"/>
          <w:bdr w:val="none" w:sz="0" w:space="0" w:color="auto" w:frame="1"/>
          <w:lang w:eastAsia="bg-BG"/>
        </w:rPr>
        <w:t>на</w:t>
      </w:r>
      <w:r w:rsidR="00FA6E19">
        <w:rPr>
          <w:rFonts w:ascii="Times New Roman" w:eastAsia="Times New Roman" w:hAnsi="Times New Roman"/>
          <w:bCs/>
          <w:sz w:val="24"/>
          <w:szCs w:val="24"/>
          <w:bdr w:val="none" w:sz="0" w:space="0" w:color="auto" w:frame="1"/>
          <w:lang w:eastAsia="bg-BG"/>
        </w:rPr>
        <w:t xml:space="preserve"> на подадените от бенефициентите финални отчети</w:t>
      </w:r>
      <w:r w:rsidRPr="00214457">
        <w:rPr>
          <w:rFonts w:ascii="Times New Roman" w:eastAsia="Times New Roman" w:hAnsi="Times New Roman"/>
          <w:bCs/>
          <w:sz w:val="24"/>
          <w:szCs w:val="24"/>
          <w:bdr w:val="none" w:sz="0" w:space="0" w:color="auto" w:frame="1"/>
          <w:lang w:eastAsia="bg-BG"/>
        </w:rPr>
        <w:t xml:space="preserve">. Общо 70,30% от домакинствата са избрали електричеството като алтернативно отопление, 26,33% са предпочели отопление на </w:t>
      </w:r>
      <w:proofErr w:type="spellStart"/>
      <w:r w:rsidRPr="00214457">
        <w:rPr>
          <w:rFonts w:ascii="Times New Roman" w:eastAsia="Times New Roman" w:hAnsi="Times New Roman"/>
          <w:bCs/>
          <w:sz w:val="24"/>
          <w:szCs w:val="24"/>
          <w:bdr w:val="none" w:sz="0" w:space="0" w:color="auto" w:frame="1"/>
          <w:lang w:eastAsia="bg-BG"/>
        </w:rPr>
        <w:t>пелети</w:t>
      </w:r>
      <w:proofErr w:type="spellEnd"/>
      <w:r w:rsidRPr="00214457">
        <w:rPr>
          <w:rFonts w:ascii="Times New Roman" w:eastAsia="Times New Roman" w:hAnsi="Times New Roman"/>
          <w:bCs/>
          <w:sz w:val="24"/>
          <w:szCs w:val="24"/>
          <w:bdr w:val="none" w:sz="0" w:space="0" w:color="auto" w:frame="1"/>
          <w:lang w:eastAsia="bg-BG"/>
        </w:rPr>
        <w:t xml:space="preserve"> и 3,38% са избрали опцията за газифициране. Броят на подменените отоплителни уреди на твърдо гориво с екологични алтернативи е</w:t>
      </w:r>
      <w:r w:rsidRPr="004961EC">
        <w:rPr>
          <w:rFonts w:ascii="Times New Roman" w:eastAsia="Times New Roman" w:hAnsi="Times New Roman"/>
          <w:bCs/>
          <w:sz w:val="24"/>
          <w:szCs w:val="24"/>
          <w:bdr w:val="none" w:sz="0" w:space="0" w:color="auto" w:frame="1"/>
          <w:lang w:eastAsia="bg-BG"/>
        </w:rPr>
        <w:t xml:space="preserve"> 31</w:t>
      </w:r>
      <w:r w:rsidRPr="00214457">
        <w:rPr>
          <w:rFonts w:ascii="Times New Roman" w:eastAsia="Times New Roman" w:hAnsi="Times New Roman"/>
          <w:bCs/>
          <w:sz w:val="24"/>
          <w:szCs w:val="24"/>
          <w:bdr w:val="none" w:sz="0" w:space="0" w:color="auto" w:frame="1"/>
          <w:lang w:eastAsia="bg-BG"/>
        </w:rPr>
        <w:t xml:space="preserve"> </w:t>
      </w:r>
      <w:r w:rsidRPr="004961EC">
        <w:rPr>
          <w:rFonts w:ascii="Times New Roman" w:eastAsia="Times New Roman" w:hAnsi="Times New Roman"/>
          <w:bCs/>
          <w:sz w:val="24"/>
          <w:szCs w:val="24"/>
          <w:bdr w:val="none" w:sz="0" w:space="0" w:color="auto" w:frame="1"/>
          <w:lang w:eastAsia="bg-BG"/>
        </w:rPr>
        <w:t>060.</w:t>
      </w:r>
      <w:r w:rsidRPr="00214457">
        <w:rPr>
          <w:rFonts w:ascii="Times New Roman" w:eastAsia="Times New Roman" w:hAnsi="Times New Roman"/>
          <w:bCs/>
          <w:sz w:val="24"/>
          <w:szCs w:val="24"/>
          <w:bdr w:val="none" w:sz="0" w:space="0" w:color="auto" w:frame="1"/>
          <w:lang w:eastAsia="bg-BG"/>
        </w:rPr>
        <w:t xml:space="preserve"> В резултат от изпълнението на мярката </w:t>
      </w:r>
      <w:r w:rsidR="00C059D6">
        <w:rPr>
          <w:rFonts w:ascii="Times New Roman" w:eastAsia="Times New Roman" w:hAnsi="Times New Roman"/>
          <w:bCs/>
          <w:sz w:val="24"/>
          <w:szCs w:val="24"/>
          <w:bdr w:val="none" w:sz="0" w:space="0" w:color="auto" w:frame="1"/>
          <w:lang w:eastAsia="bg-BG"/>
        </w:rPr>
        <w:t xml:space="preserve">верифицираната стойност на спестените </w:t>
      </w:r>
      <w:r w:rsidRPr="00214457">
        <w:rPr>
          <w:rFonts w:ascii="Times New Roman" w:eastAsia="Times New Roman" w:hAnsi="Times New Roman"/>
          <w:bCs/>
          <w:sz w:val="24"/>
          <w:szCs w:val="24"/>
          <w:bdr w:val="none" w:sz="0" w:space="0" w:color="auto" w:frame="1"/>
          <w:lang w:eastAsia="bg-BG"/>
        </w:rPr>
        <w:t>емисии ФПЧ</w:t>
      </w:r>
      <w:r w:rsidRPr="00214457">
        <w:rPr>
          <w:rFonts w:ascii="Times New Roman" w:eastAsia="Times New Roman" w:hAnsi="Times New Roman"/>
          <w:bCs/>
          <w:sz w:val="24"/>
          <w:szCs w:val="24"/>
          <w:bdr w:val="none" w:sz="0" w:space="0" w:color="auto" w:frame="1"/>
          <w:vertAlign w:val="subscript"/>
          <w:lang w:eastAsia="bg-BG"/>
        </w:rPr>
        <w:t xml:space="preserve">10 </w:t>
      </w:r>
      <w:r w:rsidR="00BA229C">
        <w:rPr>
          <w:rFonts w:ascii="Times New Roman" w:eastAsia="Times New Roman" w:hAnsi="Times New Roman"/>
          <w:bCs/>
          <w:sz w:val="24"/>
          <w:szCs w:val="24"/>
          <w:bdr w:val="none" w:sz="0" w:space="0" w:color="auto" w:frame="1"/>
          <w:lang w:eastAsia="bg-BG"/>
        </w:rPr>
        <w:t>е 707,73</w:t>
      </w:r>
      <w:r w:rsidRPr="00214457">
        <w:rPr>
          <w:rFonts w:ascii="Times New Roman" w:eastAsia="Times New Roman" w:hAnsi="Times New Roman"/>
          <w:bCs/>
          <w:sz w:val="24"/>
          <w:szCs w:val="24"/>
          <w:bdr w:val="none" w:sz="0" w:space="0" w:color="auto" w:frame="1"/>
          <w:lang w:eastAsia="bg-BG"/>
        </w:rPr>
        <w:t xml:space="preserve"> т/г. </w:t>
      </w:r>
    </w:p>
    <w:p w14:paraId="31F584C1" w14:textId="77777777" w:rsidR="00214457" w:rsidRPr="00214457" w:rsidRDefault="00214457" w:rsidP="00214457">
      <w:pPr>
        <w:spacing w:after="0" w:line="240" w:lineRule="auto"/>
        <w:ind w:firstLine="1170"/>
        <w:jc w:val="both"/>
        <w:rPr>
          <w:rFonts w:ascii="Times New Roman" w:eastAsia="Times New Roman" w:hAnsi="Times New Roman"/>
          <w:bCs/>
          <w:sz w:val="24"/>
          <w:szCs w:val="24"/>
          <w:bdr w:val="none" w:sz="0" w:space="0" w:color="auto" w:frame="1"/>
          <w:lang w:eastAsia="bg-BG"/>
        </w:rPr>
      </w:pPr>
      <w:r w:rsidRPr="00214457">
        <w:rPr>
          <w:rFonts w:ascii="Times New Roman" w:eastAsia="Times New Roman" w:hAnsi="Times New Roman"/>
          <w:bCs/>
          <w:sz w:val="24"/>
          <w:szCs w:val="24"/>
          <w:bdr w:val="none" w:sz="0" w:space="0" w:color="auto" w:frame="1"/>
          <w:lang w:eastAsia="bg-BG"/>
        </w:rPr>
        <w:t>Изпълнението на проектите по общини е както следва:</w:t>
      </w:r>
    </w:p>
    <w:p w14:paraId="32F2AAD1" w14:textId="7BBB400A" w:rsidR="00214457" w:rsidRPr="00214457" w:rsidRDefault="00214457" w:rsidP="00214457">
      <w:pPr>
        <w:numPr>
          <w:ilvl w:val="0"/>
          <w:numId w:val="14"/>
        </w:numPr>
        <w:spacing w:after="0" w:line="240" w:lineRule="auto"/>
        <w:ind w:left="0" w:firstLine="1170"/>
        <w:jc w:val="both"/>
        <w:rPr>
          <w:rFonts w:ascii="Times New Roman" w:eastAsia="Times New Roman" w:hAnsi="Times New Roman"/>
          <w:bCs/>
          <w:sz w:val="24"/>
          <w:szCs w:val="24"/>
          <w:bdr w:val="none" w:sz="0" w:space="0" w:color="auto" w:frame="1"/>
          <w:lang w:eastAsia="bg-BG"/>
        </w:rPr>
      </w:pPr>
      <w:r w:rsidRPr="00214457">
        <w:rPr>
          <w:rFonts w:ascii="Times New Roman" w:eastAsia="Times New Roman" w:hAnsi="Times New Roman"/>
          <w:bCs/>
          <w:sz w:val="24"/>
          <w:szCs w:val="24"/>
          <w:bdr w:val="none" w:sz="0" w:space="0" w:color="auto" w:frame="1"/>
          <w:lang w:eastAsia="bg-BG"/>
        </w:rPr>
        <w:lastRenderedPageBreak/>
        <w:t>Община Бургас – Изпълнени са 2</w:t>
      </w:r>
      <w:r w:rsidR="00036B3F">
        <w:rPr>
          <w:rFonts w:ascii="Times New Roman" w:eastAsia="Times New Roman" w:hAnsi="Times New Roman"/>
          <w:bCs/>
          <w:sz w:val="24"/>
          <w:szCs w:val="24"/>
          <w:bdr w:val="none" w:sz="0" w:space="0" w:color="auto" w:frame="1"/>
          <w:lang w:eastAsia="bg-BG"/>
        </w:rPr>
        <w:t xml:space="preserve"> </w:t>
      </w:r>
      <w:r w:rsidRPr="00214457">
        <w:rPr>
          <w:rFonts w:ascii="Times New Roman" w:eastAsia="Times New Roman" w:hAnsi="Times New Roman"/>
          <w:bCs/>
          <w:sz w:val="24"/>
          <w:szCs w:val="24"/>
          <w:bdr w:val="none" w:sz="0" w:space="0" w:color="auto" w:frame="1"/>
          <w:lang w:eastAsia="bg-BG"/>
        </w:rPr>
        <w:t xml:space="preserve">292 договора с домакинства за подмяна на </w:t>
      </w:r>
      <w:proofErr w:type="spellStart"/>
      <w:r w:rsidRPr="00214457">
        <w:rPr>
          <w:rFonts w:ascii="Times New Roman" w:eastAsia="Times New Roman" w:hAnsi="Times New Roman"/>
          <w:bCs/>
          <w:sz w:val="24"/>
          <w:szCs w:val="24"/>
          <w:bdr w:val="none" w:sz="0" w:space="0" w:color="auto" w:frame="1"/>
          <w:lang w:eastAsia="bg-BG"/>
        </w:rPr>
        <w:t>топлоуреди</w:t>
      </w:r>
      <w:proofErr w:type="spellEnd"/>
      <w:r w:rsidRPr="00214457">
        <w:rPr>
          <w:rFonts w:ascii="Times New Roman" w:eastAsia="Times New Roman" w:hAnsi="Times New Roman"/>
          <w:bCs/>
          <w:sz w:val="24"/>
          <w:szCs w:val="24"/>
          <w:bdr w:val="none" w:sz="0" w:space="0" w:color="auto" w:frame="1"/>
          <w:lang w:eastAsia="bg-BG"/>
        </w:rPr>
        <w:t xml:space="preserve"> на твърдо гориво. Подменени са 2 292 бр. отоплителни уреди на дърва и/или въглища с екологични алтернативи. Спестени са 55,11 т/г. емисии ФПЧ</w:t>
      </w:r>
      <w:r w:rsidRPr="00214457">
        <w:rPr>
          <w:rFonts w:ascii="Times New Roman" w:eastAsia="Times New Roman" w:hAnsi="Times New Roman"/>
          <w:bCs/>
          <w:sz w:val="24"/>
          <w:szCs w:val="24"/>
          <w:bdr w:val="none" w:sz="0" w:space="0" w:color="auto" w:frame="1"/>
          <w:vertAlign w:val="subscript"/>
          <w:lang w:eastAsia="bg-BG"/>
        </w:rPr>
        <w:t>10</w:t>
      </w:r>
      <w:r w:rsidR="00C56DE4">
        <w:rPr>
          <w:rFonts w:ascii="Times New Roman" w:eastAsia="Times New Roman" w:hAnsi="Times New Roman"/>
          <w:bCs/>
          <w:sz w:val="24"/>
          <w:szCs w:val="24"/>
          <w:bdr w:val="none" w:sz="0" w:space="0" w:color="auto" w:frame="1"/>
          <w:lang w:eastAsia="bg-BG"/>
        </w:rPr>
        <w:t>;</w:t>
      </w:r>
    </w:p>
    <w:p w14:paraId="228FF170" w14:textId="4E09CD76" w:rsidR="00214457" w:rsidRPr="00214457" w:rsidRDefault="00214457" w:rsidP="00214457">
      <w:pPr>
        <w:numPr>
          <w:ilvl w:val="0"/>
          <w:numId w:val="14"/>
        </w:numPr>
        <w:spacing w:after="0" w:line="240" w:lineRule="auto"/>
        <w:ind w:left="0" w:firstLine="1170"/>
        <w:jc w:val="both"/>
        <w:rPr>
          <w:rFonts w:ascii="Times New Roman" w:eastAsia="Times New Roman" w:hAnsi="Times New Roman"/>
          <w:bCs/>
          <w:sz w:val="24"/>
          <w:szCs w:val="24"/>
          <w:bdr w:val="none" w:sz="0" w:space="0" w:color="auto" w:frame="1"/>
          <w:lang w:eastAsia="bg-BG"/>
        </w:rPr>
      </w:pPr>
      <w:r w:rsidRPr="00214457">
        <w:rPr>
          <w:rFonts w:ascii="Times New Roman" w:eastAsia="Times New Roman" w:hAnsi="Times New Roman"/>
          <w:bCs/>
          <w:sz w:val="24"/>
          <w:szCs w:val="24"/>
          <w:bdr w:val="none" w:sz="0" w:space="0" w:color="auto" w:frame="1"/>
          <w:lang w:eastAsia="bg-BG"/>
        </w:rPr>
        <w:t xml:space="preserve">Община Видин – </w:t>
      </w:r>
      <w:bookmarkStart w:id="10" w:name="_Hlk160031861"/>
      <w:r w:rsidRPr="00214457">
        <w:rPr>
          <w:rFonts w:ascii="Times New Roman" w:eastAsia="Times New Roman" w:hAnsi="Times New Roman"/>
          <w:bCs/>
          <w:sz w:val="24"/>
          <w:szCs w:val="24"/>
          <w:bdr w:val="none" w:sz="0" w:space="0" w:color="auto" w:frame="1"/>
          <w:lang w:eastAsia="bg-BG"/>
        </w:rPr>
        <w:t xml:space="preserve">Изпълнени са </w:t>
      </w:r>
      <w:bookmarkEnd w:id="10"/>
      <w:r w:rsidRPr="00214457">
        <w:rPr>
          <w:rFonts w:ascii="Times New Roman" w:eastAsia="Times New Roman" w:hAnsi="Times New Roman"/>
          <w:bCs/>
          <w:sz w:val="24"/>
          <w:szCs w:val="24"/>
          <w:bdr w:val="none" w:sz="0" w:space="0" w:color="auto" w:frame="1"/>
          <w:lang w:eastAsia="bg-BG"/>
        </w:rPr>
        <w:t xml:space="preserve">3 883 договора с домакинства за подмяна на </w:t>
      </w:r>
      <w:proofErr w:type="spellStart"/>
      <w:r w:rsidRPr="00214457">
        <w:rPr>
          <w:rFonts w:ascii="Times New Roman" w:eastAsia="Times New Roman" w:hAnsi="Times New Roman"/>
          <w:bCs/>
          <w:sz w:val="24"/>
          <w:szCs w:val="24"/>
          <w:bdr w:val="none" w:sz="0" w:space="0" w:color="auto" w:frame="1"/>
          <w:lang w:eastAsia="bg-BG"/>
        </w:rPr>
        <w:t>топлоуреди</w:t>
      </w:r>
      <w:proofErr w:type="spellEnd"/>
      <w:r w:rsidRPr="00214457">
        <w:rPr>
          <w:rFonts w:ascii="Times New Roman" w:eastAsia="Times New Roman" w:hAnsi="Times New Roman"/>
          <w:bCs/>
          <w:sz w:val="24"/>
          <w:szCs w:val="24"/>
          <w:bdr w:val="none" w:sz="0" w:space="0" w:color="auto" w:frame="1"/>
          <w:lang w:eastAsia="bg-BG"/>
        </w:rPr>
        <w:t xml:space="preserve"> на твърдо гориво. Подменени са 4 940 бр. отоплителни уреди на дърва и/или въглища с екологични алтернативи.</w:t>
      </w:r>
      <w:r w:rsidRPr="004961EC">
        <w:rPr>
          <w:rFonts w:ascii="Times New Roman" w:eastAsia="Times New Roman" w:hAnsi="Times New Roman"/>
          <w:bCs/>
          <w:sz w:val="24"/>
          <w:szCs w:val="24"/>
          <w:bdr w:val="none" w:sz="0" w:space="0" w:color="auto" w:frame="1"/>
          <w:lang w:eastAsia="bg-BG"/>
        </w:rPr>
        <w:t xml:space="preserve"> </w:t>
      </w:r>
      <w:bookmarkStart w:id="11" w:name="_Hlk160032009"/>
      <w:r w:rsidRPr="00214457">
        <w:rPr>
          <w:rFonts w:ascii="Times New Roman" w:eastAsia="Times New Roman" w:hAnsi="Times New Roman"/>
          <w:bCs/>
          <w:sz w:val="24"/>
          <w:szCs w:val="24"/>
          <w:bdr w:val="none" w:sz="0" w:space="0" w:color="auto" w:frame="1"/>
          <w:lang w:eastAsia="bg-BG"/>
        </w:rPr>
        <w:t xml:space="preserve">Спестени са </w:t>
      </w:r>
      <w:r w:rsidR="005B693B">
        <w:rPr>
          <w:rFonts w:ascii="Times New Roman" w:eastAsia="Times New Roman" w:hAnsi="Times New Roman"/>
          <w:bCs/>
          <w:sz w:val="24"/>
          <w:szCs w:val="24"/>
          <w:bdr w:val="none" w:sz="0" w:space="0" w:color="auto" w:frame="1"/>
          <w:lang w:eastAsia="bg-BG"/>
        </w:rPr>
        <w:t>98,66</w:t>
      </w:r>
      <w:r w:rsidRPr="00214457">
        <w:rPr>
          <w:rFonts w:ascii="Times New Roman" w:eastAsia="Times New Roman" w:hAnsi="Times New Roman"/>
          <w:bCs/>
          <w:sz w:val="24"/>
          <w:szCs w:val="24"/>
          <w:bdr w:val="none" w:sz="0" w:space="0" w:color="auto" w:frame="1"/>
          <w:lang w:eastAsia="bg-BG"/>
        </w:rPr>
        <w:t xml:space="preserve"> т/г. емисии ФПЧ</w:t>
      </w:r>
      <w:r w:rsidRPr="00214457">
        <w:rPr>
          <w:rFonts w:ascii="Times New Roman" w:eastAsia="Times New Roman" w:hAnsi="Times New Roman"/>
          <w:bCs/>
          <w:sz w:val="24"/>
          <w:szCs w:val="24"/>
          <w:bdr w:val="none" w:sz="0" w:space="0" w:color="auto" w:frame="1"/>
          <w:vertAlign w:val="subscript"/>
          <w:lang w:eastAsia="bg-BG"/>
        </w:rPr>
        <w:t>10</w:t>
      </w:r>
      <w:r w:rsidR="00C56DE4">
        <w:rPr>
          <w:rFonts w:ascii="Times New Roman" w:eastAsia="Times New Roman" w:hAnsi="Times New Roman"/>
          <w:bCs/>
          <w:sz w:val="24"/>
          <w:szCs w:val="24"/>
          <w:bdr w:val="none" w:sz="0" w:space="0" w:color="auto" w:frame="1"/>
          <w:lang w:eastAsia="bg-BG"/>
        </w:rPr>
        <w:t>;</w:t>
      </w:r>
      <w:r w:rsidRPr="00214457">
        <w:rPr>
          <w:rFonts w:ascii="Times New Roman" w:eastAsia="Times New Roman" w:hAnsi="Times New Roman"/>
          <w:bCs/>
          <w:sz w:val="24"/>
          <w:szCs w:val="24"/>
          <w:bdr w:val="none" w:sz="0" w:space="0" w:color="auto" w:frame="1"/>
          <w:lang w:eastAsia="bg-BG"/>
        </w:rPr>
        <w:t xml:space="preserve"> </w:t>
      </w:r>
      <w:bookmarkEnd w:id="11"/>
    </w:p>
    <w:p w14:paraId="072E238B" w14:textId="62FBCCC7" w:rsidR="00214457" w:rsidRPr="00214457" w:rsidRDefault="00214457" w:rsidP="00214457">
      <w:pPr>
        <w:numPr>
          <w:ilvl w:val="0"/>
          <w:numId w:val="14"/>
        </w:numPr>
        <w:spacing w:after="0" w:line="240" w:lineRule="auto"/>
        <w:ind w:left="0" w:firstLine="1170"/>
        <w:jc w:val="both"/>
        <w:rPr>
          <w:rFonts w:ascii="Times New Roman" w:eastAsia="Times New Roman" w:hAnsi="Times New Roman"/>
          <w:bCs/>
          <w:sz w:val="24"/>
          <w:szCs w:val="24"/>
          <w:bdr w:val="none" w:sz="0" w:space="0" w:color="auto" w:frame="1"/>
          <w:lang w:eastAsia="bg-BG"/>
        </w:rPr>
      </w:pPr>
      <w:r w:rsidRPr="00214457">
        <w:rPr>
          <w:rFonts w:ascii="Times New Roman" w:eastAsia="Times New Roman" w:hAnsi="Times New Roman"/>
          <w:bCs/>
          <w:sz w:val="24"/>
          <w:szCs w:val="24"/>
          <w:bdr w:val="none" w:sz="0" w:space="0" w:color="auto" w:frame="1"/>
          <w:lang w:eastAsia="bg-BG"/>
        </w:rPr>
        <w:t xml:space="preserve">Община Димитровград – Изпълнени са 2 907 договора с домакинства за подмяна на </w:t>
      </w:r>
      <w:proofErr w:type="spellStart"/>
      <w:r w:rsidRPr="00214457">
        <w:rPr>
          <w:rFonts w:ascii="Times New Roman" w:eastAsia="Times New Roman" w:hAnsi="Times New Roman"/>
          <w:bCs/>
          <w:sz w:val="24"/>
          <w:szCs w:val="24"/>
          <w:bdr w:val="none" w:sz="0" w:space="0" w:color="auto" w:frame="1"/>
          <w:lang w:eastAsia="bg-BG"/>
        </w:rPr>
        <w:t>топлоуреди</w:t>
      </w:r>
      <w:proofErr w:type="spellEnd"/>
      <w:r w:rsidRPr="00214457">
        <w:rPr>
          <w:rFonts w:ascii="Times New Roman" w:eastAsia="Times New Roman" w:hAnsi="Times New Roman"/>
          <w:bCs/>
          <w:sz w:val="24"/>
          <w:szCs w:val="24"/>
          <w:bdr w:val="none" w:sz="0" w:space="0" w:color="auto" w:frame="1"/>
          <w:lang w:eastAsia="bg-BG"/>
        </w:rPr>
        <w:t xml:space="preserve"> на твърдо гориво. Подменени са 3 025 бр. отоплителни уреди на дърва и/или въглища с екологични алтернативи. Спестени са</w:t>
      </w:r>
      <w:r w:rsidRPr="00214457">
        <w:rPr>
          <w:rFonts w:ascii="Times New Roman" w:eastAsia="Times New Roman" w:hAnsi="Times New Roman"/>
          <w:bCs/>
          <w:sz w:val="24"/>
          <w:szCs w:val="24"/>
          <w:bdr w:val="none" w:sz="0" w:space="0" w:color="auto" w:frame="1"/>
          <w:lang w:val="en-US" w:eastAsia="bg-BG"/>
        </w:rPr>
        <w:t xml:space="preserve"> </w:t>
      </w:r>
      <w:r w:rsidRPr="00214457">
        <w:rPr>
          <w:rFonts w:ascii="Times New Roman" w:eastAsia="Times New Roman" w:hAnsi="Times New Roman"/>
          <w:bCs/>
          <w:sz w:val="24"/>
          <w:szCs w:val="24"/>
          <w:bdr w:val="none" w:sz="0" w:space="0" w:color="auto" w:frame="1"/>
          <w:lang w:eastAsia="bg-BG"/>
        </w:rPr>
        <w:t>65,</w:t>
      </w:r>
      <w:r w:rsidR="004822FF">
        <w:rPr>
          <w:rFonts w:ascii="Times New Roman" w:eastAsia="Times New Roman" w:hAnsi="Times New Roman"/>
          <w:bCs/>
          <w:sz w:val="24"/>
          <w:szCs w:val="24"/>
          <w:bdr w:val="none" w:sz="0" w:space="0" w:color="auto" w:frame="1"/>
          <w:lang w:eastAsia="bg-BG"/>
        </w:rPr>
        <w:t>52</w:t>
      </w:r>
      <w:r w:rsidRPr="00214457">
        <w:rPr>
          <w:rFonts w:ascii="Times New Roman" w:eastAsia="Times New Roman" w:hAnsi="Times New Roman"/>
          <w:bCs/>
          <w:sz w:val="24"/>
          <w:szCs w:val="24"/>
          <w:bdr w:val="none" w:sz="0" w:space="0" w:color="auto" w:frame="1"/>
          <w:lang w:eastAsia="bg-BG"/>
        </w:rPr>
        <w:t xml:space="preserve"> т/г. емисии ФПЧ</w:t>
      </w:r>
      <w:r w:rsidRPr="00214457">
        <w:rPr>
          <w:rFonts w:ascii="Times New Roman" w:eastAsia="Times New Roman" w:hAnsi="Times New Roman"/>
          <w:bCs/>
          <w:sz w:val="24"/>
          <w:szCs w:val="24"/>
          <w:bdr w:val="none" w:sz="0" w:space="0" w:color="auto" w:frame="1"/>
          <w:vertAlign w:val="subscript"/>
          <w:lang w:eastAsia="bg-BG"/>
        </w:rPr>
        <w:t>10</w:t>
      </w:r>
      <w:r w:rsidR="00C56DE4">
        <w:rPr>
          <w:rFonts w:ascii="Times New Roman" w:eastAsia="Times New Roman" w:hAnsi="Times New Roman"/>
          <w:bCs/>
          <w:sz w:val="24"/>
          <w:szCs w:val="24"/>
          <w:bdr w:val="none" w:sz="0" w:space="0" w:color="auto" w:frame="1"/>
          <w:lang w:eastAsia="bg-BG"/>
        </w:rPr>
        <w:t>;</w:t>
      </w:r>
      <w:r w:rsidRPr="00214457">
        <w:rPr>
          <w:rFonts w:ascii="Times New Roman" w:eastAsia="Times New Roman" w:hAnsi="Times New Roman"/>
          <w:bCs/>
          <w:sz w:val="24"/>
          <w:szCs w:val="24"/>
          <w:bdr w:val="none" w:sz="0" w:space="0" w:color="auto" w:frame="1"/>
          <w:lang w:eastAsia="bg-BG"/>
        </w:rPr>
        <w:t xml:space="preserve"> </w:t>
      </w:r>
    </w:p>
    <w:p w14:paraId="10163469" w14:textId="30267A8B" w:rsidR="00214457" w:rsidRPr="00214457" w:rsidRDefault="00214457" w:rsidP="00214457">
      <w:pPr>
        <w:numPr>
          <w:ilvl w:val="0"/>
          <w:numId w:val="14"/>
        </w:numPr>
        <w:spacing w:after="0" w:line="240" w:lineRule="auto"/>
        <w:ind w:left="0" w:firstLine="1170"/>
        <w:jc w:val="both"/>
        <w:rPr>
          <w:rFonts w:ascii="Times New Roman" w:eastAsia="Times New Roman" w:hAnsi="Times New Roman"/>
          <w:bCs/>
          <w:sz w:val="24"/>
          <w:szCs w:val="24"/>
          <w:bdr w:val="none" w:sz="0" w:space="0" w:color="auto" w:frame="1"/>
          <w:lang w:eastAsia="bg-BG"/>
        </w:rPr>
      </w:pPr>
      <w:r w:rsidRPr="00214457">
        <w:rPr>
          <w:rFonts w:ascii="Times New Roman" w:eastAsia="Times New Roman" w:hAnsi="Times New Roman"/>
          <w:bCs/>
          <w:sz w:val="24"/>
          <w:szCs w:val="24"/>
          <w:bdr w:val="none" w:sz="0" w:space="0" w:color="auto" w:frame="1"/>
          <w:lang w:eastAsia="bg-BG"/>
        </w:rPr>
        <w:t>Община Монтана – Изпълнени са 3</w:t>
      </w:r>
      <w:r w:rsidR="00036B3F">
        <w:rPr>
          <w:rFonts w:ascii="Times New Roman" w:eastAsia="Times New Roman" w:hAnsi="Times New Roman"/>
          <w:bCs/>
          <w:sz w:val="24"/>
          <w:szCs w:val="24"/>
          <w:bdr w:val="none" w:sz="0" w:space="0" w:color="auto" w:frame="1"/>
          <w:lang w:eastAsia="bg-BG"/>
        </w:rPr>
        <w:t xml:space="preserve"> </w:t>
      </w:r>
      <w:r w:rsidRPr="00214457">
        <w:rPr>
          <w:rFonts w:ascii="Times New Roman" w:eastAsia="Times New Roman" w:hAnsi="Times New Roman"/>
          <w:bCs/>
          <w:sz w:val="24"/>
          <w:szCs w:val="24"/>
          <w:bdr w:val="none" w:sz="0" w:space="0" w:color="auto" w:frame="1"/>
          <w:lang w:eastAsia="bg-BG"/>
        </w:rPr>
        <w:t xml:space="preserve">236 договора с домакинства за подмяна на </w:t>
      </w:r>
      <w:proofErr w:type="spellStart"/>
      <w:r w:rsidRPr="00214457">
        <w:rPr>
          <w:rFonts w:ascii="Times New Roman" w:eastAsia="Times New Roman" w:hAnsi="Times New Roman"/>
          <w:bCs/>
          <w:sz w:val="24"/>
          <w:szCs w:val="24"/>
          <w:bdr w:val="none" w:sz="0" w:space="0" w:color="auto" w:frame="1"/>
          <w:lang w:eastAsia="bg-BG"/>
        </w:rPr>
        <w:t>топлоуреди</w:t>
      </w:r>
      <w:proofErr w:type="spellEnd"/>
      <w:r w:rsidRPr="00214457">
        <w:rPr>
          <w:rFonts w:ascii="Times New Roman" w:eastAsia="Times New Roman" w:hAnsi="Times New Roman"/>
          <w:bCs/>
          <w:sz w:val="24"/>
          <w:szCs w:val="24"/>
          <w:bdr w:val="none" w:sz="0" w:space="0" w:color="auto" w:frame="1"/>
          <w:lang w:eastAsia="bg-BG"/>
        </w:rPr>
        <w:t xml:space="preserve"> на твърдо гориво. Подменени са 3 236 бр. отоплителни уреди на дърва и/или въглища с екологични алтернативи.</w:t>
      </w:r>
      <w:r w:rsidRPr="004961EC">
        <w:rPr>
          <w:rFonts w:ascii="Times New Roman" w:eastAsia="Times New Roman" w:hAnsi="Times New Roman"/>
          <w:bCs/>
          <w:sz w:val="24"/>
          <w:szCs w:val="24"/>
          <w:bdr w:val="none" w:sz="0" w:space="0" w:color="auto" w:frame="1"/>
          <w:lang w:eastAsia="bg-BG"/>
        </w:rPr>
        <w:t xml:space="preserve"> </w:t>
      </w:r>
      <w:r w:rsidRPr="00214457">
        <w:rPr>
          <w:rFonts w:ascii="Times New Roman" w:eastAsia="Times New Roman" w:hAnsi="Times New Roman"/>
          <w:bCs/>
          <w:sz w:val="24"/>
          <w:szCs w:val="24"/>
          <w:bdr w:val="none" w:sz="0" w:space="0" w:color="auto" w:frame="1"/>
          <w:lang w:eastAsia="bg-BG"/>
        </w:rPr>
        <w:t>Спестени са 78,00 т/г. емисии ФПЧ</w:t>
      </w:r>
      <w:r w:rsidRPr="00214457">
        <w:rPr>
          <w:rFonts w:ascii="Times New Roman" w:eastAsia="Times New Roman" w:hAnsi="Times New Roman"/>
          <w:bCs/>
          <w:sz w:val="24"/>
          <w:szCs w:val="24"/>
          <w:bdr w:val="none" w:sz="0" w:space="0" w:color="auto" w:frame="1"/>
          <w:vertAlign w:val="subscript"/>
          <w:lang w:eastAsia="bg-BG"/>
        </w:rPr>
        <w:t>10</w:t>
      </w:r>
      <w:r w:rsidR="00C56DE4">
        <w:rPr>
          <w:rFonts w:ascii="Times New Roman" w:eastAsia="Times New Roman" w:hAnsi="Times New Roman"/>
          <w:bCs/>
          <w:sz w:val="24"/>
          <w:szCs w:val="24"/>
          <w:bdr w:val="none" w:sz="0" w:space="0" w:color="auto" w:frame="1"/>
          <w:lang w:eastAsia="bg-BG"/>
        </w:rPr>
        <w:t>;</w:t>
      </w:r>
    </w:p>
    <w:p w14:paraId="3EE55A5D" w14:textId="70EBD937" w:rsidR="00214457" w:rsidRPr="00214457" w:rsidRDefault="00214457" w:rsidP="00214457">
      <w:pPr>
        <w:numPr>
          <w:ilvl w:val="0"/>
          <w:numId w:val="14"/>
        </w:numPr>
        <w:spacing w:after="0" w:line="240" w:lineRule="auto"/>
        <w:ind w:left="0" w:firstLine="1170"/>
        <w:jc w:val="both"/>
        <w:rPr>
          <w:rFonts w:ascii="Times New Roman" w:eastAsia="Times New Roman" w:hAnsi="Times New Roman"/>
          <w:bCs/>
          <w:sz w:val="24"/>
          <w:szCs w:val="24"/>
          <w:bdr w:val="none" w:sz="0" w:space="0" w:color="auto" w:frame="1"/>
          <w:lang w:eastAsia="bg-BG"/>
        </w:rPr>
      </w:pPr>
      <w:r w:rsidRPr="00214457">
        <w:rPr>
          <w:rFonts w:ascii="Times New Roman" w:eastAsia="Times New Roman" w:hAnsi="Times New Roman"/>
          <w:bCs/>
          <w:sz w:val="24"/>
          <w:szCs w:val="24"/>
          <w:bdr w:val="none" w:sz="0" w:space="0" w:color="auto" w:frame="1"/>
          <w:lang w:eastAsia="bg-BG"/>
        </w:rPr>
        <w:t xml:space="preserve">Община Пловдив – Изпълнени са 3 169 договора с домакинства за подмяна на </w:t>
      </w:r>
      <w:proofErr w:type="spellStart"/>
      <w:r w:rsidRPr="00214457">
        <w:rPr>
          <w:rFonts w:ascii="Times New Roman" w:eastAsia="Times New Roman" w:hAnsi="Times New Roman"/>
          <w:bCs/>
          <w:sz w:val="24"/>
          <w:szCs w:val="24"/>
          <w:bdr w:val="none" w:sz="0" w:space="0" w:color="auto" w:frame="1"/>
          <w:lang w:eastAsia="bg-BG"/>
        </w:rPr>
        <w:t>топлоуреди</w:t>
      </w:r>
      <w:proofErr w:type="spellEnd"/>
      <w:r w:rsidRPr="00214457">
        <w:rPr>
          <w:rFonts w:ascii="Times New Roman" w:eastAsia="Times New Roman" w:hAnsi="Times New Roman"/>
          <w:bCs/>
          <w:sz w:val="24"/>
          <w:szCs w:val="24"/>
          <w:bdr w:val="none" w:sz="0" w:space="0" w:color="auto" w:frame="1"/>
          <w:lang w:eastAsia="bg-BG"/>
        </w:rPr>
        <w:t xml:space="preserve"> на твърдо гориво. Подменени са 3 343 бр. отоплителни уреди на дърва и/или въглища с екологични алтернативи.</w:t>
      </w:r>
      <w:r w:rsidRPr="004961EC">
        <w:rPr>
          <w:rFonts w:ascii="Times New Roman" w:eastAsia="Times New Roman" w:hAnsi="Times New Roman"/>
          <w:bCs/>
          <w:sz w:val="24"/>
          <w:szCs w:val="24"/>
          <w:bdr w:val="none" w:sz="0" w:space="0" w:color="auto" w:frame="1"/>
          <w:lang w:eastAsia="bg-BG"/>
        </w:rPr>
        <w:t xml:space="preserve"> </w:t>
      </w:r>
      <w:r w:rsidRPr="00214457">
        <w:rPr>
          <w:rFonts w:ascii="Times New Roman" w:eastAsia="Times New Roman" w:hAnsi="Times New Roman"/>
          <w:bCs/>
          <w:sz w:val="24"/>
          <w:szCs w:val="24"/>
          <w:bdr w:val="none" w:sz="0" w:space="0" w:color="auto" w:frame="1"/>
          <w:lang w:eastAsia="bg-BG"/>
        </w:rPr>
        <w:t>Спестени са 76,1</w:t>
      </w:r>
      <w:r w:rsidR="005C0A45">
        <w:rPr>
          <w:rFonts w:ascii="Times New Roman" w:eastAsia="Times New Roman" w:hAnsi="Times New Roman"/>
          <w:bCs/>
          <w:sz w:val="24"/>
          <w:szCs w:val="24"/>
          <w:bdr w:val="none" w:sz="0" w:space="0" w:color="auto" w:frame="1"/>
          <w:lang w:eastAsia="bg-BG"/>
        </w:rPr>
        <w:t>9</w:t>
      </w:r>
      <w:r w:rsidRPr="00214457">
        <w:rPr>
          <w:rFonts w:ascii="Times New Roman" w:eastAsia="Times New Roman" w:hAnsi="Times New Roman"/>
          <w:bCs/>
          <w:sz w:val="24"/>
          <w:szCs w:val="24"/>
          <w:bdr w:val="none" w:sz="0" w:space="0" w:color="auto" w:frame="1"/>
          <w:lang w:eastAsia="bg-BG"/>
        </w:rPr>
        <w:t xml:space="preserve"> т/г. емисии ФПЧ</w:t>
      </w:r>
      <w:r w:rsidRPr="00563984">
        <w:rPr>
          <w:rFonts w:ascii="Times New Roman" w:eastAsia="Times New Roman" w:hAnsi="Times New Roman"/>
          <w:bCs/>
          <w:sz w:val="24"/>
          <w:szCs w:val="24"/>
          <w:bdr w:val="none" w:sz="0" w:space="0" w:color="auto" w:frame="1"/>
          <w:vertAlign w:val="subscript"/>
          <w:lang w:eastAsia="bg-BG"/>
        </w:rPr>
        <w:t>10</w:t>
      </w:r>
      <w:r w:rsidR="00C56DE4">
        <w:rPr>
          <w:rFonts w:ascii="Times New Roman" w:eastAsia="Times New Roman" w:hAnsi="Times New Roman"/>
          <w:bCs/>
          <w:sz w:val="24"/>
          <w:szCs w:val="24"/>
          <w:bdr w:val="none" w:sz="0" w:space="0" w:color="auto" w:frame="1"/>
          <w:lang w:eastAsia="bg-BG"/>
        </w:rPr>
        <w:t>;</w:t>
      </w:r>
      <w:r w:rsidRPr="00214457">
        <w:rPr>
          <w:rFonts w:ascii="Times New Roman" w:eastAsia="Times New Roman" w:hAnsi="Times New Roman"/>
          <w:bCs/>
          <w:sz w:val="24"/>
          <w:szCs w:val="24"/>
          <w:bdr w:val="none" w:sz="0" w:space="0" w:color="auto" w:frame="1"/>
          <w:lang w:eastAsia="bg-BG"/>
        </w:rPr>
        <w:t xml:space="preserve"> </w:t>
      </w:r>
    </w:p>
    <w:p w14:paraId="7FC880CA" w14:textId="22F8F48A" w:rsidR="00214457" w:rsidRPr="00214457" w:rsidRDefault="00214457" w:rsidP="00214457">
      <w:pPr>
        <w:numPr>
          <w:ilvl w:val="0"/>
          <w:numId w:val="14"/>
        </w:numPr>
        <w:spacing w:after="0" w:line="240" w:lineRule="auto"/>
        <w:ind w:left="0" w:firstLine="1170"/>
        <w:jc w:val="both"/>
        <w:rPr>
          <w:rFonts w:ascii="Times New Roman" w:eastAsia="Times New Roman" w:hAnsi="Times New Roman"/>
          <w:bCs/>
          <w:sz w:val="24"/>
          <w:szCs w:val="24"/>
          <w:bdr w:val="none" w:sz="0" w:space="0" w:color="auto" w:frame="1"/>
          <w:lang w:eastAsia="bg-BG"/>
        </w:rPr>
      </w:pPr>
      <w:r w:rsidRPr="00214457">
        <w:rPr>
          <w:rFonts w:ascii="Times New Roman" w:eastAsia="Times New Roman" w:hAnsi="Times New Roman"/>
          <w:bCs/>
          <w:sz w:val="24"/>
          <w:szCs w:val="24"/>
          <w:bdr w:val="none" w:sz="0" w:space="0" w:color="auto" w:frame="1"/>
          <w:lang w:eastAsia="bg-BG"/>
        </w:rPr>
        <w:t xml:space="preserve">Община Смолян – Изпълнени са 2 456 </w:t>
      </w:r>
      <w:bookmarkStart w:id="12" w:name="_Hlk160031900"/>
      <w:r w:rsidRPr="00214457">
        <w:rPr>
          <w:rFonts w:ascii="Times New Roman" w:eastAsia="Times New Roman" w:hAnsi="Times New Roman"/>
          <w:bCs/>
          <w:sz w:val="24"/>
          <w:szCs w:val="24"/>
          <w:bdr w:val="none" w:sz="0" w:space="0" w:color="auto" w:frame="1"/>
          <w:lang w:eastAsia="bg-BG"/>
        </w:rPr>
        <w:t xml:space="preserve">договора с домакинства за подмяна на </w:t>
      </w:r>
      <w:proofErr w:type="spellStart"/>
      <w:r w:rsidRPr="00214457">
        <w:rPr>
          <w:rFonts w:ascii="Times New Roman" w:eastAsia="Times New Roman" w:hAnsi="Times New Roman"/>
          <w:bCs/>
          <w:sz w:val="24"/>
          <w:szCs w:val="24"/>
          <w:bdr w:val="none" w:sz="0" w:space="0" w:color="auto" w:frame="1"/>
          <w:lang w:eastAsia="bg-BG"/>
        </w:rPr>
        <w:t>топлоуреди</w:t>
      </w:r>
      <w:proofErr w:type="spellEnd"/>
      <w:r w:rsidRPr="00214457">
        <w:rPr>
          <w:rFonts w:ascii="Times New Roman" w:eastAsia="Times New Roman" w:hAnsi="Times New Roman"/>
          <w:bCs/>
          <w:sz w:val="24"/>
          <w:szCs w:val="24"/>
          <w:bdr w:val="none" w:sz="0" w:space="0" w:color="auto" w:frame="1"/>
          <w:lang w:eastAsia="bg-BG"/>
        </w:rPr>
        <w:t xml:space="preserve"> на твърдо гориво. Подменени са 2 864 бр. отоплителни уреди на дърва и/или въглища с екологични алтернативи.</w:t>
      </w:r>
      <w:r w:rsidRPr="004961EC">
        <w:rPr>
          <w:rFonts w:ascii="Times New Roman" w:eastAsia="Times New Roman" w:hAnsi="Times New Roman"/>
          <w:bCs/>
          <w:sz w:val="24"/>
          <w:szCs w:val="24"/>
          <w:bdr w:val="none" w:sz="0" w:space="0" w:color="auto" w:frame="1"/>
          <w:lang w:eastAsia="bg-BG"/>
        </w:rPr>
        <w:t xml:space="preserve"> </w:t>
      </w:r>
      <w:r w:rsidRPr="00214457">
        <w:rPr>
          <w:rFonts w:ascii="Times New Roman" w:eastAsia="Times New Roman" w:hAnsi="Times New Roman"/>
          <w:bCs/>
          <w:sz w:val="24"/>
          <w:szCs w:val="24"/>
          <w:bdr w:val="none" w:sz="0" w:space="0" w:color="auto" w:frame="1"/>
          <w:lang w:eastAsia="bg-BG"/>
        </w:rPr>
        <w:t xml:space="preserve">Спестени са </w:t>
      </w:r>
      <w:r w:rsidR="005C0A45">
        <w:rPr>
          <w:rFonts w:ascii="Times New Roman" w:eastAsia="Times New Roman" w:hAnsi="Times New Roman"/>
          <w:bCs/>
          <w:sz w:val="24"/>
          <w:szCs w:val="24"/>
          <w:bdr w:val="none" w:sz="0" w:space="0" w:color="auto" w:frame="1"/>
          <w:lang w:eastAsia="bg-BG"/>
        </w:rPr>
        <w:t>66,59</w:t>
      </w:r>
      <w:r w:rsidRPr="00214457">
        <w:rPr>
          <w:rFonts w:ascii="Times New Roman" w:eastAsia="Times New Roman" w:hAnsi="Times New Roman"/>
          <w:bCs/>
          <w:sz w:val="24"/>
          <w:szCs w:val="24"/>
          <w:bdr w:val="none" w:sz="0" w:space="0" w:color="auto" w:frame="1"/>
          <w:lang w:eastAsia="bg-BG"/>
        </w:rPr>
        <w:t xml:space="preserve"> т/г. емисии ФПЧ</w:t>
      </w:r>
      <w:r w:rsidRPr="00214457">
        <w:rPr>
          <w:rFonts w:ascii="Times New Roman" w:eastAsia="Times New Roman" w:hAnsi="Times New Roman"/>
          <w:bCs/>
          <w:sz w:val="24"/>
          <w:szCs w:val="24"/>
          <w:bdr w:val="none" w:sz="0" w:space="0" w:color="auto" w:frame="1"/>
          <w:vertAlign w:val="subscript"/>
          <w:lang w:eastAsia="bg-BG"/>
        </w:rPr>
        <w:t>10</w:t>
      </w:r>
      <w:r w:rsidR="00C56DE4">
        <w:rPr>
          <w:rFonts w:ascii="Times New Roman" w:eastAsia="Times New Roman" w:hAnsi="Times New Roman"/>
          <w:bCs/>
          <w:sz w:val="24"/>
          <w:szCs w:val="24"/>
          <w:bdr w:val="none" w:sz="0" w:space="0" w:color="auto" w:frame="1"/>
          <w:lang w:eastAsia="bg-BG"/>
        </w:rPr>
        <w:t>;</w:t>
      </w:r>
      <w:r w:rsidRPr="00214457">
        <w:rPr>
          <w:rFonts w:ascii="Times New Roman" w:eastAsia="Times New Roman" w:hAnsi="Times New Roman"/>
          <w:bCs/>
          <w:sz w:val="24"/>
          <w:szCs w:val="24"/>
          <w:bdr w:val="none" w:sz="0" w:space="0" w:color="auto" w:frame="1"/>
          <w:lang w:eastAsia="bg-BG"/>
        </w:rPr>
        <w:t xml:space="preserve"> </w:t>
      </w:r>
    </w:p>
    <w:bookmarkEnd w:id="12"/>
    <w:p w14:paraId="4A01D1E0" w14:textId="39656B8E" w:rsidR="00A25B14" w:rsidRDefault="00214457" w:rsidP="00036B3F">
      <w:pPr>
        <w:numPr>
          <w:ilvl w:val="0"/>
          <w:numId w:val="14"/>
        </w:numPr>
        <w:spacing w:after="0" w:line="240" w:lineRule="auto"/>
        <w:ind w:left="0" w:firstLine="1170"/>
        <w:jc w:val="both"/>
        <w:rPr>
          <w:rFonts w:ascii="Times New Roman" w:eastAsia="Times New Roman" w:hAnsi="Times New Roman"/>
          <w:bCs/>
          <w:sz w:val="24"/>
          <w:szCs w:val="24"/>
          <w:bdr w:val="none" w:sz="0" w:space="0" w:color="auto" w:frame="1"/>
          <w:lang w:eastAsia="bg-BG"/>
        </w:rPr>
      </w:pPr>
      <w:r w:rsidRPr="00214457">
        <w:rPr>
          <w:rFonts w:ascii="Times New Roman" w:eastAsia="Times New Roman" w:hAnsi="Times New Roman"/>
          <w:bCs/>
          <w:sz w:val="24"/>
          <w:szCs w:val="24"/>
          <w:bdr w:val="none" w:sz="0" w:space="0" w:color="auto" w:frame="1"/>
          <w:lang w:eastAsia="bg-BG"/>
        </w:rPr>
        <w:t>Община Горна Оряховица – Изпълнени са 1</w:t>
      </w:r>
      <w:r w:rsidR="00036B3F">
        <w:rPr>
          <w:rFonts w:ascii="Times New Roman" w:eastAsia="Times New Roman" w:hAnsi="Times New Roman"/>
          <w:bCs/>
          <w:sz w:val="24"/>
          <w:szCs w:val="24"/>
          <w:bdr w:val="none" w:sz="0" w:space="0" w:color="auto" w:frame="1"/>
          <w:lang w:eastAsia="bg-BG"/>
        </w:rPr>
        <w:t xml:space="preserve"> </w:t>
      </w:r>
      <w:r w:rsidRPr="00214457">
        <w:rPr>
          <w:rFonts w:ascii="Times New Roman" w:eastAsia="Times New Roman" w:hAnsi="Times New Roman"/>
          <w:bCs/>
          <w:sz w:val="24"/>
          <w:szCs w:val="24"/>
          <w:bdr w:val="none" w:sz="0" w:space="0" w:color="auto" w:frame="1"/>
          <w:lang w:eastAsia="bg-BG"/>
        </w:rPr>
        <w:t xml:space="preserve">276 договора с домакинства за подмяна на </w:t>
      </w:r>
      <w:proofErr w:type="spellStart"/>
      <w:r w:rsidRPr="00214457">
        <w:rPr>
          <w:rFonts w:ascii="Times New Roman" w:eastAsia="Times New Roman" w:hAnsi="Times New Roman"/>
          <w:bCs/>
          <w:sz w:val="24"/>
          <w:szCs w:val="24"/>
          <w:bdr w:val="none" w:sz="0" w:space="0" w:color="auto" w:frame="1"/>
          <w:lang w:eastAsia="bg-BG"/>
        </w:rPr>
        <w:t>топлоуреди</w:t>
      </w:r>
      <w:proofErr w:type="spellEnd"/>
      <w:r w:rsidRPr="00214457">
        <w:rPr>
          <w:rFonts w:ascii="Times New Roman" w:eastAsia="Times New Roman" w:hAnsi="Times New Roman"/>
          <w:bCs/>
          <w:sz w:val="24"/>
          <w:szCs w:val="24"/>
          <w:bdr w:val="none" w:sz="0" w:space="0" w:color="auto" w:frame="1"/>
          <w:lang w:eastAsia="bg-BG"/>
        </w:rPr>
        <w:t xml:space="preserve"> на твърдо гориво. Подменени са 2 200 бр. отоплителни уреди на дърва и/или въглища с екологични алтернативи.</w:t>
      </w:r>
      <w:r w:rsidRPr="004961EC">
        <w:rPr>
          <w:rFonts w:ascii="Times New Roman" w:eastAsia="Times New Roman" w:hAnsi="Times New Roman"/>
          <w:bCs/>
          <w:sz w:val="24"/>
          <w:szCs w:val="24"/>
          <w:bdr w:val="none" w:sz="0" w:space="0" w:color="auto" w:frame="1"/>
          <w:lang w:eastAsia="bg-BG"/>
        </w:rPr>
        <w:t xml:space="preserve"> </w:t>
      </w:r>
      <w:r w:rsidRPr="00214457">
        <w:rPr>
          <w:rFonts w:ascii="Times New Roman" w:eastAsia="Times New Roman" w:hAnsi="Times New Roman"/>
          <w:bCs/>
          <w:sz w:val="24"/>
          <w:szCs w:val="24"/>
          <w:bdr w:val="none" w:sz="0" w:space="0" w:color="auto" w:frame="1"/>
          <w:lang w:eastAsia="bg-BG"/>
        </w:rPr>
        <w:t xml:space="preserve">Спестени са </w:t>
      </w:r>
      <w:r w:rsidR="00F0574F">
        <w:rPr>
          <w:rFonts w:ascii="Times New Roman" w:eastAsia="Times New Roman" w:hAnsi="Times New Roman"/>
          <w:bCs/>
          <w:sz w:val="24"/>
          <w:szCs w:val="24"/>
          <w:bdr w:val="none" w:sz="0" w:space="0" w:color="auto" w:frame="1"/>
          <w:lang w:eastAsia="bg-BG"/>
        </w:rPr>
        <w:t>45,60</w:t>
      </w:r>
      <w:r w:rsidRPr="00214457">
        <w:rPr>
          <w:rFonts w:ascii="Times New Roman" w:eastAsia="Times New Roman" w:hAnsi="Times New Roman"/>
          <w:bCs/>
          <w:sz w:val="24"/>
          <w:szCs w:val="24"/>
          <w:bdr w:val="none" w:sz="0" w:space="0" w:color="auto" w:frame="1"/>
          <w:lang w:eastAsia="bg-BG"/>
        </w:rPr>
        <w:t xml:space="preserve"> т/г. емисии ФПЧ</w:t>
      </w:r>
      <w:r w:rsidRPr="00214457">
        <w:rPr>
          <w:rFonts w:ascii="Times New Roman" w:eastAsia="Times New Roman" w:hAnsi="Times New Roman"/>
          <w:bCs/>
          <w:sz w:val="24"/>
          <w:szCs w:val="24"/>
          <w:bdr w:val="none" w:sz="0" w:space="0" w:color="auto" w:frame="1"/>
          <w:vertAlign w:val="subscript"/>
          <w:lang w:eastAsia="bg-BG"/>
        </w:rPr>
        <w:t>10</w:t>
      </w:r>
      <w:r w:rsidR="00C56DE4">
        <w:rPr>
          <w:rFonts w:ascii="Times New Roman" w:eastAsia="Times New Roman" w:hAnsi="Times New Roman"/>
          <w:bCs/>
          <w:sz w:val="24"/>
          <w:szCs w:val="24"/>
          <w:bdr w:val="none" w:sz="0" w:space="0" w:color="auto" w:frame="1"/>
          <w:lang w:eastAsia="bg-BG"/>
        </w:rPr>
        <w:t>;</w:t>
      </w:r>
    </w:p>
    <w:p w14:paraId="42DD4808" w14:textId="4DCC9E7A" w:rsidR="00214457" w:rsidRPr="005D3BFF" w:rsidRDefault="00214457" w:rsidP="00036B3F">
      <w:pPr>
        <w:numPr>
          <w:ilvl w:val="0"/>
          <w:numId w:val="14"/>
        </w:numPr>
        <w:spacing w:after="0" w:line="240" w:lineRule="auto"/>
        <w:ind w:left="0" w:firstLine="1170"/>
        <w:jc w:val="both"/>
        <w:rPr>
          <w:rFonts w:ascii="Times New Roman" w:eastAsia="Times New Roman" w:hAnsi="Times New Roman"/>
          <w:bCs/>
          <w:sz w:val="24"/>
          <w:szCs w:val="24"/>
          <w:bdr w:val="none" w:sz="0" w:space="0" w:color="auto" w:frame="1"/>
          <w:lang w:eastAsia="bg-BG"/>
        </w:rPr>
      </w:pPr>
      <w:r w:rsidRPr="00A25B14">
        <w:rPr>
          <w:rFonts w:ascii="Times New Roman" w:eastAsia="Times New Roman" w:hAnsi="Times New Roman"/>
          <w:bCs/>
          <w:sz w:val="24"/>
          <w:szCs w:val="24"/>
          <w:bdr w:val="none" w:sz="0" w:space="0" w:color="auto" w:frame="1"/>
          <w:lang w:eastAsia="bg-BG"/>
        </w:rPr>
        <w:t>Столична община – Изпълнени са 7 932 договора с</w:t>
      </w:r>
      <w:r w:rsidRPr="004961EC">
        <w:rPr>
          <w:rFonts w:ascii="Times New Roman" w:eastAsia="Times New Roman" w:hAnsi="Times New Roman"/>
          <w:bCs/>
          <w:sz w:val="24"/>
          <w:szCs w:val="24"/>
          <w:bdr w:val="none" w:sz="0" w:space="0" w:color="auto" w:frame="1"/>
          <w:lang w:eastAsia="bg-BG"/>
        </w:rPr>
        <w:t xml:space="preserve"> </w:t>
      </w:r>
      <w:r w:rsidRPr="00A25B14">
        <w:rPr>
          <w:rFonts w:ascii="Times New Roman" w:eastAsia="Times New Roman" w:hAnsi="Times New Roman"/>
          <w:bCs/>
          <w:sz w:val="24"/>
          <w:szCs w:val="24"/>
          <w:bdr w:val="none" w:sz="0" w:space="0" w:color="auto" w:frame="1"/>
          <w:lang w:eastAsia="bg-BG"/>
        </w:rPr>
        <w:t xml:space="preserve">домакинства за подмяна на </w:t>
      </w:r>
      <w:proofErr w:type="spellStart"/>
      <w:r w:rsidRPr="00A25B14">
        <w:rPr>
          <w:rFonts w:ascii="Times New Roman" w:eastAsia="Times New Roman" w:hAnsi="Times New Roman"/>
          <w:bCs/>
          <w:sz w:val="24"/>
          <w:szCs w:val="24"/>
          <w:bdr w:val="none" w:sz="0" w:space="0" w:color="auto" w:frame="1"/>
          <w:lang w:eastAsia="bg-BG"/>
        </w:rPr>
        <w:t>топлоуреди</w:t>
      </w:r>
      <w:proofErr w:type="spellEnd"/>
      <w:r w:rsidRPr="00A25B14">
        <w:rPr>
          <w:rFonts w:ascii="Times New Roman" w:eastAsia="Times New Roman" w:hAnsi="Times New Roman"/>
          <w:bCs/>
          <w:sz w:val="24"/>
          <w:szCs w:val="24"/>
          <w:bdr w:val="none" w:sz="0" w:space="0" w:color="auto" w:frame="1"/>
          <w:lang w:eastAsia="bg-BG"/>
        </w:rPr>
        <w:t xml:space="preserve"> на твърдо гориво. Подменени са 9 </w:t>
      </w:r>
      <w:r w:rsidRPr="00036B3F">
        <w:rPr>
          <w:rFonts w:ascii="Times New Roman" w:eastAsia="Times New Roman" w:hAnsi="Times New Roman"/>
          <w:bCs/>
          <w:sz w:val="24"/>
          <w:szCs w:val="24"/>
          <w:bdr w:val="none" w:sz="0" w:space="0" w:color="auto" w:frame="1"/>
          <w:lang w:eastAsia="bg-BG"/>
        </w:rPr>
        <w:t>160 бр. отоплителни уреди на дърва и/или въглища с екологични алтернативи.</w:t>
      </w:r>
      <w:r w:rsidRPr="004961EC">
        <w:rPr>
          <w:rFonts w:ascii="Times New Roman" w:eastAsia="Times New Roman" w:hAnsi="Times New Roman"/>
          <w:bCs/>
          <w:sz w:val="24"/>
          <w:szCs w:val="24"/>
          <w:bdr w:val="none" w:sz="0" w:space="0" w:color="auto" w:frame="1"/>
          <w:lang w:eastAsia="bg-BG"/>
        </w:rPr>
        <w:t xml:space="preserve"> </w:t>
      </w:r>
      <w:r w:rsidRPr="00036B3F">
        <w:rPr>
          <w:rFonts w:ascii="Times New Roman" w:eastAsia="Times New Roman" w:hAnsi="Times New Roman"/>
          <w:bCs/>
          <w:sz w:val="24"/>
          <w:szCs w:val="24"/>
          <w:bdr w:val="none" w:sz="0" w:space="0" w:color="auto" w:frame="1"/>
          <w:lang w:eastAsia="bg-BG"/>
        </w:rPr>
        <w:t xml:space="preserve">Спестени са </w:t>
      </w:r>
      <w:r w:rsidRPr="005D3BFF">
        <w:rPr>
          <w:rFonts w:ascii="Times New Roman" w:eastAsia="Times New Roman" w:hAnsi="Times New Roman"/>
          <w:bCs/>
          <w:sz w:val="24"/>
          <w:szCs w:val="24"/>
          <w:bdr w:val="none" w:sz="0" w:space="0" w:color="auto" w:frame="1"/>
          <w:lang w:eastAsia="bg-BG"/>
        </w:rPr>
        <w:t>21</w:t>
      </w:r>
      <w:r w:rsidR="000F38A4">
        <w:rPr>
          <w:rFonts w:ascii="Times New Roman" w:eastAsia="Times New Roman" w:hAnsi="Times New Roman"/>
          <w:bCs/>
          <w:sz w:val="24"/>
          <w:szCs w:val="24"/>
          <w:bdr w:val="none" w:sz="0" w:space="0" w:color="auto" w:frame="1"/>
          <w:lang w:val="en-US" w:eastAsia="bg-BG"/>
        </w:rPr>
        <w:t>9</w:t>
      </w:r>
      <w:r w:rsidRPr="005D3BFF">
        <w:rPr>
          <w:rFonts w:ascii="Times New Roman" w:eastAsia="Times New Roman" w:hAnsi="Times New Roman"/>
          <w:bCs/>
          <w:sz w:val="24"/>
          <w:szCs w:val="24"/>
          <w:bdr w:val="none" w:sz="0" w:space="0" w:color="auto" w:frame="1"/>
          <w:lang w:eastAsia="bg-BG"/>
        </w:rPr>
        <w:t>,0</w:t>
      </w:r>
      <w:r w:rsidR="000F38A4">
        <w:rPr>
          <w:rFonts w:ascii="Times New Roman" w:eastAsia="Times New Roman" w:hAnsi="Times New Roman"/>
          <w:bCs/>
          <w:sz w:val="24"/>
          <w:szCs w:val="24"/>
          <w:bdr w:val="none" w:sz="0" w:space="0" w:color="auto" w:frame="1"/>
          <w:lang w:val="en-US" w:eastAsia="bg-BG"/>
        </w:rPr>
        <w:t>6</w:t>
      </w:r>
      <w:r w:rsidRPr="005D3BFF">
        <w:rPr>
          <w:rFonts w:ascii="Times New Roman" w:eastAsia="Times New Roman" w:hAnsi="Times New Roman"/>
          <w:bCs/>
          <w:sz w:val="24"/>
          <w:szCs w:val="24"/>
          <w:bdr w:val="none" w:sz="0" w:space="0" w:color="auto" w:frame="1"/>
          <w:lang w:eastAsia="bg-BG"/>
        </w:rPr>
        <w:t xml:space="preserve"> т/г. емисии ФПЧ</w:t>
      </w:r>
      <w:r w:rsidRPr="005D3BFF">
        <w:rPr>
          <w:rFonts w:ascii="Times New Roman" w:eastAsia="Times New Roman" w:hAnsi="Times New Roman"/>
          <w:bCs/>
          <w:sz w:val="24"/>
          <w:szCs w:val="24"/>
          <w:bdr w:val="none" w:sz="0" w:space="0" w:color="auto" w:frame="1"/>
          <w:vertAlign w:val="subscript"/>
          <w:lang w:eastAsia="bg-BG"/>
        </w:rPr>
        <w:t>10</w:t>
      </w:r>
      <w:r w:rsidRPr="005D3BFF">
        <w:rPr>
          <w:rFonts w:ascii="Times New Roman" w:eastAsia="Times New Roman" w:hAnsi="Times New Roman"/>
          <w:bCs/>
          <w:sz w:val="24"/>
          <w:szCs w:val="24"/>
          <w:bdr w:val="none" w:sz="0" w:space="0" w:color="auto" w:frame="1"/>
          <w:lang w:eastAsia="bg-BG"/>
        </w:rPr>
        <w:t>.</w:t>
      </w:r>
    </w:p>
    <w:p w14:paraId="4DE1C720" w14:textId="77777777" w:rsidR="0077690E" w:rsidRPr="006F0B09" w:rsidRDefault="0077690E"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69A0FACD" w14:textId="45D49262" w:rsidR="00A17F42" w:rsidRPr="00A17F42" w:rsidRDefault="00A17F42" w:rsidP="00A17F42">
      <w:pPr>
        <w:spacing w:after="0" w:line="240" w:lineRule="auto"/>
        <w:ind w:firstLine="1134"/>
        <w:jc w:val="both"/>
        <w:rPr>
          <w:rFonts w:ascii="Times New Roman" w:eastAsia="Times New Roman" w:hAnsi="Times New Roman"/>
          <w:bCs/>
          <w:sz w:val="24"/>
          <w:szCs w:val="24"/>
          <w:bdr w:val="none" w:sz="0" w:space="0" w:color="auto" w:frame="1"/>
          <w:lang w:eastAsia="bg-BG"/>
        </w:rPr>
      </w:pPr>
      <w:r w:rsidRPr="00A17F42">
        <w:rPr>
          <w:rFonts w:ascii="Times New Roman" w:eastAsia="Times New Roman" w:hAnsi="Times New Roman"/>
          <w:bCs/>
          <w:sz w:val="24"/>
          <w:szCs w:val="24"/>
          <w:bdr w:val="none" w:sz="0" w:space="0" w:color="auto" w:frame="1"/>
          <w:lang w:eastAsia="bg-BG"/>
        </w:rPr>
        <w:t xml:space="preserve">През </w:t>
      </w:r>
      <w:r w:rsidR="00FD771C">
        <w:rPr>
          <w:rFonts w:ascii="Times New Roman" w:eastAsia="Times New Roman" w:hAnsi="Times New Roman"/>
          <w:bCs/>
          <w:sz w:val="24"/>
          <w:szCs w:val="24"/>
          <w:bdr w:val="none" w:sz="0" w:space="0" w:color="auto" w:frame="1"/>
          <w:lang w:eastAsia="bg-BG"/>
        </w:rPr>
        <w:t xml:space="preserve">месец </w:t>
      </w:r>
      <w:r w:rsidRPr="00A17F42">
        <w:rPr>
          <w:rFonts w:ascii="Times New Roman" w:eastAsia="Times New Roman" w:hAnsi="Times New Roman"/>
          <w:bCs/>
          <w:sz w:val="24"/>
          <w:szCs w:val="24"/>
          <w:bdr w:val="none" w:sz="0" w:space="0" w:color="auto" w:frame="1"/>
          <w:lang w:eastAsia="bg-BG"/>
        </w:rPr>
        <w:t>април 2023г.</w:t>
      </w:r>
      <w:r>
        <w:rPr>
          <w:rFonts w:ascii="Times New Roman" w:eastAsia="Times New Roman" w:hAnsi="Times New Roman"/>
          <w:bCs/>
          <w:sz w:val="24"/>
          <w:szCs w:val="24"/>
          <w:bdr w:val="none" w:sz="0" w:space="0" w:color="auto" w:frame="1"/>
          <w:lang w:eastAsia="bg-BG"/>
        </w:rPr>
        <w:t>, по</w:t>
      </w:r>
      <w:r w:rsidRPr="00A17F42">
        <w:rPr>
          <w:rFonts w:ascii="Times New Roman" w:eastAsia="Times New Roman" w:hAnsi="Times New Roman"/>
          <w:bCs/>
          <w:sz w:val="24"/>
          <w:szCs w:val="24"/>
          <w:bdr w:val="none" w:sz="0" w:space="0" w:color="auto" w:frame="1"/>
          <w:lang w:eastAsia="bg-BG"/>
        </w:rPr>
        <w:t xml:space="preserve"> Програма „Околна среда“ 2021-2027г</w:t>
      </w:r>
      <w:r>
        <w:rPr>
          <w:rFonts w:ascii="Times New Roman" w:eastAsia="Times New Roman" w:hAnsi="Times New Roman"/>
          <w:bCs/>
          <w:sz w:val="24"/>
          <w:szCs w:val="24"/>
          <w:bdr w:val="none" w:sz="0" w:space="0" w:color="auto" w:frame="1"/>
          <w:lang w:eastAsia="bg-BG"/>
        </w:rPr>
        <w:t>.,</w:t>
      </w:r>
      <w:r w:rsidRPr="00A17F42">
        <w:rPr>
          <w:rFonts w:ascii="Times New Roman" w:eastAsia="Times New Roman" w:hAnsi="Times New Roman"/>
          <w:bCs/>
          <w:sz w:val="24"/>
          <w:szCs w:val="24"/>
          <w:bdr w:val="none" w:sz="0" w:space="0" w:color="auto" w:frame="1"/>
          <w:lang w:eastAsia="bg-BG"/>
        </w:rPr>
        <w:t xml:space="preserve"> са отворени две процедури за предоставяне на безвъзмездна финансова помощ „За по-чист въздух!“ и </w:t>
      </w:r>
      <w:bookmarkStart w:id="13" w:name="_Hlk159342008"/>
      <w:r w:rsidRPr="00A17F42">
        <w:rPr>
          <w:rFonts w:ascii="Times New Roman" w:eastAsia="Times New Roman" w:hAnsi="Times New Roman"/>
          <w:bCs/>
          <w:sz w:val="24"/>
          <w:szCs w:val="24"/>
          <w:bdr w:val="none" w:sz="0" w:space="0" w:color="auto" w:frame="1"/>
          <w:lang w:eastAsia="bg-BG"/>
        </w:rPr>
        <w:t>„За по-чист въздух!“</w:t>
      </w:r>
      <w:r w:rsidRPr="004961EC">
        <w:rPr>
          <w:rFonts w:ascii="Times New Roman" w:eastAsia="Times New Roman" w:hAnsi="Times New Roman"/>
          <w:bCs/>
          <w:sz w:val="24"/>
          <w:szCs w:val="24"/>
          <w:bdr w:val="none" w:sz="0" w:space="0" w:color="auto" w:frame="1"/>
          <w:lang w:eastAsia="bg-BG"/>
        </w:rPr>
        <w:t>(</w:t>
      </w:r>
      <w:r w:rsidRPr="00A17F42">
        <w:rPr>
          <w:rFonts w:ascii="Times New Roman" w:eastAsia="Times New Roman" w:hAnsi="Times New Roman"/>
          <w:bCs/>
          <w:sz w:val="24"/>
          <w:szCs w:val="24"/>
          <w:bdr w:val="none" w:sz="0" w:space="0" w:color="auto" w:frame="1"/>
          <w:lang w:eastAsia="bg-BG"/>
        </w:rPr>
        <w:t>2</w:t>
      </w:r>
      <w:r w:rsidRPr="004961EC">
        <w:rPr>
          <w:rFonts w:ascii="Times New Roman" w:eastAsia="Times New Roman" w:hAnsi="Times New Roman"/>
          <w:bCs/>
          <w:sz w:val="24"/>
          <w:szCs w:val="24"/>
          <w:bdr w:val="none" w:sz="0" w:space="0" w:color="auto" w:frame="1"/>
          <w:lang w:eastAsia="bg-BG"/>
        </w:rPr>
        <w:t>)</w:t>
      </w:r>
      <w:r w:rsidRPr="00A17F42">
        <w:rPr>
          <w:rFonts w:ascii="Times New Roman" w:eastAsia="Times New Roman" w:hAnsi="Times New Roman"/>
          <w:bCs/>
          <w:sz w:val="24"/>
          <w:szCs w:val="24"/>
          <w:bdr w:val="none" w:sz="0" w:space="0" w:color="auto" w:frame="1"/>
          <w:lang w:eastAsia="bg-BG"/>
        </w:rPr>
        <w:t xml:space="preserve">, </w:t>
      </w:r>
      <w:bookmarkEnd w:id="13"/>
      <w:r w:rsidRPr="00A17F42">
        <w:rPr>
          <w:rFonts w:ascii="Times New Roman" w:eastAsia="Times New Roman" w:hAnsi="Times New Roman"/>
          <w:bCs/>
          <w:sz w:val="24"/>
          <w:szCs w:val="24"/>
          <w:bdr w:val="none" w:sz="0" w:space="0" w:color="auto" w:frame="1"/>
          <w:lang w:eastAsia="bg-BG"/>
        </w:rPr>
        <w:t>чиято основна цел е подобряване качеството на атмосферния въздух чрез намаляване наднормените нива на ФПЧ</w:t>
      </w:r>
      <w:r w:rsidRPr="00A17F42">
        <w:rPr>
          <w:rFonts w:ascii="Times New Roman" w:eastAsia="Times New Roman" w:hAnsi="Times New Roman"/>
          <w:bCs/>
          <w:sz w:val="24"/>
          <w:szCs w:val="24"/>
          <w:bdr w:val="none" w:sz="0" w:space="0" w:color="auto" w:frame="1"/>
          <w:vertAlign w:val="subscript"/>
          <w:lang w:eastAsia="bg-BG"/>
        </w:rPr>
        <w:t>10</w:t>
      </w:r>
      <w:r w:rsidRPr="00A17F42">
        <w:rPr>
          <w:rFonts w:ascii="Times New Roman" w:eastAsia="Times New Roman" w:hAnsi="Times New Roman"/>
          <w:bCs/>
          <w:sz w:val="24"/>
          <w:szCs w:val="24"/>
          <w:bdr w:val="none" w:sz="0" w:space="0" w:color="auto" w:frame="1"/>
          <w:lang w:eastAsia="bg-BG"/>
        </w:rPr>
        <w:t xml:space="preserve"> на територията на 21 общини с нарушено качество на въздуха по този показател в периода 2017-2021г. Основните дейности са свързани с подмяната на старите </w:t>
      </w:r>
      <w:proofErr w:type="spellStart"/>
      <w:r w:rsidRPr="00A17F42">
        <w:rPr>
          <w:rFonts w:ascii="Times New Roman" w:eastAsia="Times New Roman" w:hAnsi="Times New Roman"/>
          <w:bCs/>
          <w:sz w:val="24"/>
          <w:szCs w:val="24"/>
          <w:bdr w:val="none" w:sz="0" w:space="0" w:color="auto" w:frame="1"/>
          <w:lang w:eastAsia="bg-BG"/>
        </w:rPr>
        <w:t>топлоуреди</w:t>
      </w:r>
      <w:proofErr w:type="spellEnd"/>
      <w:r w:rsidRPr="00A17F42">
        <w:rPr>
          <w:rFonts w:ascii="Times New Roman" w:eastAsia="Times New Roman" w:hAnsi="Times New Roman"/>
          <w:bCs/>
          <w:sz w:val="24"/>
          <w:szCs w:val="24"/>
          <w:bdr w:val="none" w:sz="0" w:space="0" w:color="auto" w:frame="1"/>
          <w:lang w:eastAsia="bg-BG"/>
        </w:rPr>
        <w:t xml:space="preserve"> на твърдо гориво с екологични алтернативи. Прогнозната стойност на спестените емисии ФПЧ</w:t>
      </w:r>
      <w:r w:rsidRPr="00A17F42">
        <w:rPr>
          <w:rFonts w:ascii="Times New Roman" w:eastAsia="Times New Roman" w:hAnsi="Times New Roman"/>
          <w:bCs/>
          <w:sz w:val="24"/>
          <w:szCs w:val="24"/>
          <w:bdr w:val="none" w:sz="0" w:space="0" w:color="auto" w:frame="1"/>
          <w:vertAlign w:val="subscript"/>
          <w:lang w:eastAsia="bg-BG"/>
        </w:rPr>
        <w:t>10</w:t>
      </w:r>
      <w:r w:rsidRPr="00A17F42">
        <w:rPr>
          <w:rFonts w:ascii="Times New Roman" w:eastAsia="Times New Roman" w:hAnsi="Times New Roman"/>
          <w:bCs/>
          <w:sz w:val="24"/>
          <w:szCs w:val="24"/>
          <w:bdr w:val="none" w:sz="0" w:space="0" w:color="auto" w:frame="1"/>
          <w:lang w:eastAsia="bg-BG"/>
        </w:rPr>
        <w:t xml:space="preserve"> в резултат на изпълнението на проектите по двете процедури е над 1 400 т/г. Срокът за изпълнение на проектите е в рамките на 60 месеца.</w:t>
      </w:r>
    </w:p>
    <w:p w14:paraId="5FC2850E" w14:textId="77777777" w:rsidR="00A17F42" w:rsidRPr="00A17F42" w:rsidRDefault="00A17F42" w:rsidP="00A17F42">
      <w:pPr>
        <w:spacing w:after="0" w:line="240" w:lineRule="auto"/>
        <w:ind w:firstLine="1134"/>
        <w:jc w:val="both"/>
        <w:rPr>
          <w:rFonts w:ascii="Times New Roman" w:eastAsia="Times New Roman" w:hAnsi="Times New Roman"/>
          <w:bCs/>
          <w:sz w:val="24"/>
          <w:szCs w:val="24"/>
          <w:bdr w:val="none" w:sz="0" w:space="0" w:color="auto" w:frame="1"/>
          <w:lang w:eastAsia="bg-BG"/>
        </w:rPr>
      </w:pPr>
      <w:r w:rsidRPr="00A17F42">
        <w:rPr>
          <w:rFonts w:ascii="Times New Roman" w:eastAsia="Times New Roman" w:hAnsi="Times New Roman"/>
          <w:bCs/>
          <w:sz w:val="24"/>
          <w:szCs w:val="24"/>
          <w:bdr w:val="none" w:sz="0" w:space="0" w:color="auto" w:frame="1"/>
          <w:lang w:eastAsia="bg-BG"/>
        </w:rPr>
        <w:tab/>
        <w:t>По процедура „За по-чист въздух!“ с бюджет 484 177 450,00 лв., съфинансирана от Е</w:t>
      </w:r>
      <w:r w:rsidR="00FA6E19">
        <w:rPr>
          <w:rFonts w:ascii="Times New Roman" w:eastAsia="Times New Roman" w:hAnsi="Times New Roman"/>
          <w:bCs/>
          <w:sz w:val="24"/>
          <w:szCs w:val="24"/>
          <w:bdr w:val="none" w:sz="0" w:space="0" w:color="auto" w:frame="1"/>
          <w:lang w:eastAsia="bg-BG"/>
        </w:rPr>
        <w:t>вропейския фонд за регионална развитие</w:t>
      </w:r>
      <w:r w:rsidRPr="00A17F42">
        <w:rPr>
          <w:rFonts w:ascii="Times New Roman" w:eastAsia="Times New Roman" w:hAnsi="Times New Roman"/>
          <w:bCs/>
          <w:sz w:val="24"/>
          <w:szCs w:val="24"/>
          <w:bdr w:val="none" w:sz="0" w:space="0" w:color="auto" w:frame="1"/>
          <w:lang w:eastAsia="bg-BG"/>
        </w:rPr>
        <w:t xml:space="preserve">, допустими кандидати са общините – Асеновград, Бургас, Велико Търново, Видин, Враца, Горна Оряховица, Димитровград, Кърджали, Ловеч, Монтана, Несебър, Пазарджик, Плевен, Пловдив, Русе, Смолян, Хасково, Шумен. </w:t>
      </w:r>
      <w:bookmarkStart w:id="14" w:name="_Hlk159342331"/>
      <w:r w:rsidRPr="00A17F42">
        <w:rPr>
          <w:rFonts w:ascii="Times New Roman" w:eastAsia="Times New Roman" w:hAnsi="Times New Roman"/>
          <w:bCs/>
          <w:sz w:val="24"/>
          <w:szCs w:val="24"/>
          <w:bdr w:val="none" w:sz="0" w:space="0" w:color="auto" w:frame="1"/>
          <w:lang w:eastAsia="bg-BG"/>
        </w:rPr>
        <w:t xml:space="preserve">Всички 18 общини са подали проектни предложения в срок. </w:t>
      </w:r>
      <w:bookmarkStart w:id="15" w:name="_Hlk159342153"/>
      <w:bookmarkEnd w:id="14"/>
      <w:r w:rsidRPr="00B657A3">
        <w:rPr>
          <w:rFonts w:ascii="Times New Roman" w:eastAsia="Times New Roman" w:hAnsi="Times New Roman"/>
          <w:bCs/>
          <w:sz w:val="24"/>
          <w:szCs w:val="24"/>
          <w:bdr w:val="none" w:sz="0" w:space="0" w:color="auto" w:frame="1"/>
          <w:lang w:eastAsia="bg-BG"/>
        </w:rPr>
        <w:t xml:space="preserve">Към края на </w:t>
      </w:r>
      <w:r w:rsidR="001077D7" w:rsidRPr="00EB797B">
        <w:rPr>
          <w:rFonts w:ascii="Times New Roman" w:eastAsia="Times New Roman" w:hAnsi="Times New Roman"/>
          <w:bCs/>
          <w:sz w:val="24"/>
          <w:szCs w:val="24"/>
          <w:bdr w:val="none" w:sz="0" w:space="0" w:color="auto" w:frame="1"/>
          <w:lang w:eastAsia="bg-BG"/>
        </w:rPr>
        <w:t xml:space="preserve">май </w:t>
      </w:r>
      <w:r w:rsidRPr="00B657A3">
        <w:rPr>
          <w:rFonts w:ascii="Times New Roman" w:eastAsia="Times New Roman" w:hAnsi="Times New Roman"/>
          <w:bCs/>
          <w:sz w:val="24"/>
          <w:szCs w:val="24"/>
          <w:bdr w:val="none" w:sz="0" w:space="0" w:color="auto" w:frame="1"/>
          <w:lang w:eastAsia="bg-BG"/>
        </w:rPr>
        <w:t xml:space="preserve">2024г. административни договори за предоставяне на безвъзмездна финансова помощ са сключени с </w:t>
      </w:r>
      <w:r w:rsidR="001077D7" w:rsidRPr="00EB797B">
        <w:rPr>
          <w:rFonts w:ascii="Times New Roman" w:eastAsia="Times New Roman" w:hAnsi="Times New Roman"/>
          <w:bCs/>
          <w:sz w:val="24"/>
          <w:szCs w:val="24"/>
          <w:bdr w:val="none" w:sz="0" w:space="0" w:color="auto" w:frame="1"/>
          <w:lang w:eastAsia="bg-BG"/>
        </w:rPr>
        <w:t xml:space="preserve">всички общини </w:t>
      </w:r>
      <w:proofErr w:type="spellStart"/>
      <w:r w:rsidR="001077D7" w:rsidRPr="00EB797B">
        <w:rPr>
          <w:rFonts w:ascii="Times New Roman" w:eastAsia="Times New Roman" w:hAnsi="Times New Roman"/>
          <w:bCs/>
          <w:sz w:val="24"/>
          <w:szCs w:val="24"/>
          <w:bdr w:val="none" w:sz="0" w:space="0" w:color="auto" w:frame="1"/>
          <w:lang w:eastAsia="bg-BG"/>
        </w:rPr>
        <w:t>бенефицинти</w:t>
      </w:r>
      <w:proofErr w:type="spellEnd"/>
      <w:r w:rsidRPr="00B657A3">
        <w:rPr>
          <w:rFonts w:ascii="Times New Roman" w:eastAsia="Times New Roman" w:hAnsi="Times New Roman"/>
          <w:bCs/>
          <w:sz w:val="24"/>
          <w:szCs w:val="24"/>
          <w:bdr w:val="none" w:sz="0" w:space="0" w:color="auto" w:frame="1"/>
          <w:lang w:eastAsia="bg-BG"/>
        </w:rPr>
        <w:t>.</w:t>
      </w:r>
      <w:r w:rsidRPr="00A17F42">
        <w:rPr>
          <w:rFonts w:ascii="Times New Roman" w:eastAsia="Times New Roman" w:hAnsi="Times New Roman"/>
          <w:bCs/>
          <w:sz w:val="24"/>
          <w:szCs w:val="24"/>
          <w:bdr w:val="none" w:sz="0" w:space="0" w:color="auto" w:frame="1"/>
          <w:lang w:eastAsia="bg-BG"/>
        </w:rPr>
        <w:t xml:space="preserve"> </w:t>
      </w:r>
      <w:bookmarkEnd w:id="15"/>
    </w:p>
    <w:p w14:paraId="44774A38" w14:textId="5B51971D" w:rsidR="00A17F42" w:rsidRDefault="00A17F42" w:rsidP="00A17F42">
      <w:pPr>
        <w:spacing w:after="0" w:line="240" w:lineRule="auto"/>
        <w:ind w:firstLine="1134"/>
        <w:jc w:val="both"/>
        <w:rPr>
          <w:rFonts w:ascii="Times New Roman" w:eastAsia="Times New Roman" w:hAnsi="Times New Roman"/>
          <w:bCs/>
          <w:sz w:val="24"/>
          <w:szCs w:val="24"/>
          <w:bdr w:val="none" w:sz="0" w:space="0" w:color="auto" w:frame="1"/>
          <w:lang w:eastAsia="bg-BG"/>
        </w:rPr>
      </w:pPr>
      <w:r w:rsidRPr="00A17F42">
        <w:rPr>
          <w:rFonts w:ascii="Times New Roman" w:eastAsia="Times New Roman" w:hAnsi="Times New Roman"/>
          <w:bCs/>
          <w:sz w:val="24"/>
          <w:szCs w:val="24"/>
          <w:bdr w:val="none" w:sz="0" w:space="0" w:color="auto" w:frame="1"/>
          <w:lang w:eastAsia="bg-BG"/>
        </w:rPr>
        <w:tab/>
        <w:t xml:space="preserve">По процедура </w:t>
      </w:r>
      <w:r w:rsidRPr="004961EC">
        <w:rPr>
          <w:rFonts w:ascii="Times New Roman" w:eastAsia="Times New Roman" w:hAnsi="Times New Roman"/>
          <w:bCs/>
          <w:sz w:val="24"/>
          <w:szCs w:val="24"/>
          <w:bdr w:val="none" w:sz="0" w:space="0" w:color="auto" w:frame="1"/>
          <w:lang w:eastAsia="bg-BG"/>
        </w:rPr>
        <w:t>„</w:t>
      </w:r>
      <w:r w:rsidRPr="00A17F42">
        <w:rPr>
          <w:rFonts w:ascii="Times New Roman" w:eastAsia="Times New Roman" w:hAnsi="Times New Roman"/>
          <w:bCs/>
          <w:sz w:val="24"/>
          <w:szCs w:val="24"/>
          <w:bdr w:val="none" w:sz="0" w:space="0" w:color="auto" w:frame="1"/>
          <w:lang w:eastAsia="bg-BG"/>
        </w:rPr>
        <w:t>За по-чист въздух</w:t>
      </w:r>
      <w:r w:rsidRPr="004961EC">
        <w:rPr>
          <w:rFonts w:ascii="Times New Roman" w:eastAsia="Times New Roman" w:hAnsi="Times New Roman"/>
          <w:bCs/>
          <w:sz w:val="24"/>
          <w:szCs w:val="24"/>
          <w:bdr w:val="none" w:sz="0" w:space="0" w:color="auto" w:frame="1"/>
          <w:lang w:eastAsia="bg-BG"/>
        </w:rPr>
        <w:t>!“(2)</w:t>
      </w:r>
      <w:r w:rsidRPr="00A17F42">
        <w:rPr>
          <w:rFonts w:ascii="Times New Roman" w:eastAsia="Times New Roman" w:hAnsi="Times New Roman"/>
          <w:bCs/>
          <w:sz w:val="24"/>
          <w:szCs w:val="24"/>
          <w:bdr w:val="none" w:sz="0" w:space="0" w:color="auto" w:frame="1"/>
          <w:lang w:eastAsia="bg-BG"/>
        </w:rPr>
        <w:t xml:space="preserve"> с бюджет 126 700 324,42 лв., съфинансирана от К</w:t>
      </w:r>
      <w:r w:rsidR="00FA6E19">
        <w:rPr>
          <w:rFonts w:ascii="Times New Roman" w:eastAsia="Times New Roman" w:hAnsi="Times New Roman"/>
          <w:bCs/>
          <w:sz w:val="24"/>
          <w:szCs w:val="24"/>
          <w:bdr w:val="none" w:sz="0" w:space="0" w:color="auto" w:frame="1"/>
          <w:lang w:eastAsia="bg-BG"/>
        </w:rPr>
        <w:t>охезионния фонд</w:t>
      </w:r>
      <w:r w:rsidRPr="00A17F42">
        <w:rPr>
          <w:rFonts w:ascii="Times New Roman" w:eastAsia="Times New Roman" w:hAnsi="Times New Roman"/>
          <w:bCs/>
          <w:sz w:val="24"/>
          <w:szCs w:val="24"/>
          <w:bdr w:val="none" w:sz="0" w:space="0" w:color="auto" w:frame="1"/>
          <w:lang w:eastAsia="bg-BG"/>
        </w:rPr>
        <w:t xml:space="preserve">, допустими кандидати са 3 общини - Благоевград, Перник и Столична. И трите общини </w:t>
      </w:r>
      <w:r w:rsidR="00DA16BA">
        <w:rPr>
          <w:rFonts w:ascii="Times New Roman" w:eastAsia="Times New Roman" w:hAnsi="Times New Roman"/>
          <w:bCs/>
          <w:sz w:val="24"/>
          <w:szCs w:val="24"/>
          <w:bdr w:val="none" w:sz="0" w:space="0" w:color="auto" w:frame="1"/>
          <w:lang w:eastAsia="bg-BG"/>
        </w:rPr>
        <w:t xml:space="preserve">към </w:t>
      </w:r>
      <w:r w:rsidR="00DA16BA" w:rsidRPr="00B657A3">
        <w:rPr>
          <w:rFonts w:ascii="Times New Roman" w:eastAsia="Times New Roman" w:hAnsi="Times New Roman"/>
          <w:bCs/>
          <w:sz w:val="24"/>
          <w:szCs w:val="24"/>
          <w:bdr w:val="none" w:sz="0" w:space="0" w:color="auto" w:frame="1"/>
          <w:lang w:eastAsia="bg-BG"/>
        </w:rPr>
        <w:t xml:space="preserve">края на </w:t>
      </w:r>
      <w:r w:rsidR="00DA16BA" w:rsidRPr="00B02AE6">
        <w:rPr>
          <w:rFonts w:ascii="Times New Roman" w:eastAsia="Times New Roman" w:hAnsi="Times New Roman"/>
          <w:bCs/>
          <w:sz w:val="24"/>
          <w:szCs w:val="24"/>
          <w:bdr w:val="none" w:sz="0" w:space="0" w:color="auto" w:frame="1"/>
          <w:lang w:eastAsia="bg-BG"/>
        </w:rPr>
        <w:t xml:space="preserve">май </w:t>
      </w:r>
      <w:r w:rsidR="00DA16BA" w:rsidRPr="00B657A3">
        <w:rPr>
          <w:rFonts w:ascii="Times New Roman" w:eastAsia="Times New Roman" w:hAnsi="Times New Roman"/>
          <w:bCs/>
          <w:sz w:val="24"/>
          <w:szCs w:val="24"/>
          <w:bdr w:val="none" w:sz="0" w:space="0" w:color="auto" w:frame="1"/>
          <w:lang w:eastAsia="bg-BG"/>
        </w:rPr>
        <w:t xml:space="preserve">2024г. </w:t>
      </w:r>
      <w:r w:rsidR="00DA16BA">
        <w:rPr>
          <w:rFonts w:ascii="Times New Roman" w:eastAsia="Times New Roman" w:hAnsi="Times New Roman"/>
          <w:bCs/>
          <w:sz w:val="24"/>
          <w:szCs w:val="24"/>
          <w:bdr w:val="none" w:sz="0" w:space="0" w:color="auto" w:frame="1"/>
          <w:lang w:eastAsia="bg-BG"/>
        </w:rPr>
        <w:t xml:space="preserve">имат сключени </w:t>
      </w:r>
      <w:r w:rsidR="00DA16BA" w:rsidRPr="00B657A3">
        <w:rPr>
          <w:rFonts w:ascii="Times New Roman" w:eastAsia="Times New Roman" w:hAnsi="Times New Roman"/>
          <w:bCs/>
          <w:sz w:val="24"/>
          <w:szCs w:val="24"/>
          <w:bdr w:val="none" w:sz="0" w:space="0" w:color="auto" w:frame="1"/>
          <w:lang w:eastAsia="bg-BG"/>
        </w:rPr>
        <w:t>административни договори за предоставяне на безвъзмездна финансова помощ</w:t>
      </w:r>
      <w:bookmarkStart w:id="16" w:name="_Hlk159427071"/>
      <w:r w:rsidRPr="00A17F42">
        <w:rPr>
          <w:rFonts w:ascii="Times New Roman" w:eastAsia="Times New Roman" w:hAnsi="Times New Roman"/>
          <w:bCs/>
          <w:sz w:val="24"/>
          <w:szCs w:val="24"/>
          <w:bdr w:val="none" w:sz="0" w:space="0" w:color="auto" w:frame="1"/>
          <w:lang w:eastAsia="bg-BG"/>
        </w:rPr>
        <w:t>.</w:t>
      </w:r>
      <w:bookmarkEnd w:id="16"/>
    </w:p>
    <w:p w14:paraId="2F6721E8" w14:textId="77777777" w:rsidR="00A17F42" w:rsidRDefault="00A17F42"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228C99C6" w14:textId="5EAA6936" w:rsidR="00DA1A90" w:rsidRDefault="00DA1A90"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През 2023г. продължава</w:t>
      </w:r>
      <w:r w:rsidR="00425464" w:rsidRPr="006F0B09">
        <w:rPr>
          <w:rFonts w:ascii="Times New Roman" w:eastAsia="Times New Roman" w:hAnsi="Times New Roman"/>
          <w:bCs/>
          <w:sz w:val="24"/>
          <w:szCs w:val="24"/>
          <w:bdr w:val="none" w:sz="0" w:space="0" w:color="auto" w:frame="1"/>
          <w:lang w:eastAsia="bg-BG"/>
        </w:rPr>
        <w:t xml:space="preserve"> изпълнение</w:t>
      </w:r>
      <w:r>
        <w:rPr>
          <w:rFonts w:ascii="Times New Roman" w:eastAsia="Times New Roman" w:hAnsi="Times New Roman"/>
          <w:bCs/>
          <w:sz w:val="24"/>
          <w:szCs w:val="24"/>
          <w:bdr w:val="none" w:sz="0" w:space="0" w:color="auto" w:frame="1"/>
          <w:lang w:eastAsia="bg-BG"/>
        </w:rPr>
        <w:t>то</w:t>
      </w:r>
      <w:r w:rsidR="00425464" w:rsidRPr="006F0B09">
        <w:rPr>
          <w:rFonts w:ascii="Times New Roman" w:eastAsia="Times New Roman" w:hAnsi="Times New Roman"/>
          <w:bCs/>
          <w:sz w:val="24"/>
          <w:szCs w:val="24"/>
          <w:bdr w:val="none" w:sz="0" w:space="0" w:color="auto" w:frame="1"/>
          <w:lang w:eastAsia="bg-BG"/>
        </w:rPr>
        <w:t xml:space="preserve"> и</w:t>
      </w:r>
      <w:r>
        <w:rPr>
          <w:rFonts w:ascii="Times New Roman" w:eastAsia="Times New Roman" w:hAnsi="Times New Roman"/>
          <w:bCs/>
          <w:sz w:val="24"/>
          <w:szCs w:val="24"/>
          <w:bdr w:val="none" w:sz="0" w:space="0" w:color="auto" w:frame="1"/>
          <w:lang w:eastAsia="bg-BG"/>
        </w:rPr>
        <w:t xml:space="preserve"> на третата фаза на</w:t>
      </w:r>
      <w:r w:rsidR="00425464" w:rsidRPr="006F0B09">
        <w:rPr>
          <w:rFonts w:ascii="Times New Roman" w:eastAsia="Times New Roman" w:hAnsi="Times New Roman"/>
          <w:bCs/>
          <w:sz w:val="24"/>
          <w:szCs w:val="24"/>
          <w:bdr w:val="none" w:sz="0" w:space="0" w:color="auto" w:frame="1"/>
          <w:lang w:eastAsia="bg-BG"/>
        </w:rPr>
        <w:t xml:space="preserve"> Интегриран проект „Българските общини работят заедно за подобряване на качеството на атмосферния въздух” LIFE17 IPE/BG/000012 – LIFE IP CLEAN AIR</w:t>
      </w:r>
      <w:r w:rsidR="000F03B9" w:rsidRPr="00252B6B">
        <w:rPr>
          <w:rStyle w:val="FootnoteReference"/>
          <w:rFonts w:ascii="Times New Roman" w:eastAsia="Times New Roman" w:hAnsi="Times New Roman"/>
          <w:bCs/>
          <w:sz w:val="24"/>
          <w:szCs w:val="24"/>
          <w:bdr w:val="none" w:sz="0" w:space="0" w:color="auto" w:frame="1"/>
          <w:lang w:eastAsia="bg-BG"/>
        </w:rPr>
        <w:footnoteReference w:id="2"/>
      </w:r>
      <w:r w:rsidR="00425464" w:rsidRPr="00252B6B">
        <w:rPr>
          <w:rFonts w:ascii="Times New Roman" w:eastAsia="Times New Roman" w:hAnsi="Times New Roman"/>
          <w:bCs/>
          <w:sz w:val="24"/>
          <w:szCs w:val="24"/>
          <w:bdr w:val="none" w:sz="0" w:space="0" w:color="auto" w:frame="1"/>
          <w:lang w:eastAsia="bg-BG"/>
        </w:rPr>
        <w:t>, финансиран по Програма LIFE на Европейския съюз. Обхватът на дейностите по проекта</w:t>
      </w:r>
      <w:r w:rsidR="00F15600">
        <w:rPr>
          <w:rFonts w:ascii="Times New Roman" w:eastAsia="Times New Roman" w:hAnsi="Times New Roman"/>
          <w:bCs/>
          <w:sz w:val="24"/>
          <w:szCs w:val="24"/>
          <w:bdr w:val="none" w:sz="0" w:space="0" w:color="auto" w:frame="1"/>
          <w:lang w:eastAsia="bg-BG"/>
        </w:rPr>
        <w:t>,</w:t>
      </w:r>
      <w:r w:rsidR="00425464" w:rsidRPr="00252B6B">
        <w:rPr>
          <w:rFonts w:ascii="Times New Roman" w:eastAsia="Times New Roman" w:hAnsi="Times New Roman"/>
          <w:bCs/>
          <w:sz w:val="24"/>
          <w:szCs w:val="24"/>
          <w:bdr w:val="none" w:sz="0" w:space="0" w:color="auto" w:frame="1"/>
          <w:lang w:eastAsia="bg-BG"/>
        </w:rPr>
        <w:t xml:space="preserve"> </w:t>
      </w:r>
      <w:r w:rsidR="00F15600" w:rsidRPr="00252B6B">
        <w:rPr>
          <w:rFonts w:ascii="Times New Roman" w:eastAsia="Times New Roman" w:hAnsi="Times New Roman"/>
          <w:bCs/>
          <w:sz w:val="24"/>
          <w:szCs w:val="24"/>
          <w:bdr w:val="none" w:sz="0" w:space="0" w:color="auto" w:frame="1"/>
          <w:lang w:eastAsia="bg-BG"/>
        </w:rPr>
        <w:t>който се изпълнява на местно ниво</w:t>
      </w:r>
      <w:r w:rsidR="00F15600">
        <w:rPr>
          <w:rFonts w:ascii="Times New Roman" w:eastAsia="Times New Roman" w:hAnsi="Times New Roman"/>
          <w:bCs/>
          <w:sz w:val="24"/>
          <w:szCs w:val="24"/>
          <w:bdr w:val="none" w:sz="0" w:space="0" w:color="auto" w:frame="1"/>
          <w:lang w:eastAsia="bg-BG"/>
        </w:rPr>
        <w:t>,</w:t>
      </w:r>
      <w:r w:rsidR="00F15600" w:rsidRPr="00252B6B">
        <w:rPr>
          <w:rFonts w:ascii="Times New Roman" w:eastAsia="Times New Roman" w:hAnsi="Times New Roman"/>
          <w:bCs/>
          <w:sz w:val="24"/>
          <w:szCs w:val="24"/>
          <w:bdr w:val="none" w:sz="0" w:space="0" w:color="auto" w:frame="1"/>
          <w:lang w:eastAsia="bg-BG"/>
        </w:rPr>
        <w:t xml:space="preserve"> </w:t>
      </w:r>
      <w:r w:rsidR="00425464" w:rsidRPr="00252B6B">
        <w:rPr>
          <w:rFonts w:ascii="Times New Roman" w:eastAsia="Times New Roman" w:hAnsi="Times New Roman"/>
          <w:bCs/>
          <w:sz w:val="24"/>
          <w:szCs w:val="24"/>
          <w:bdr w:val="none" w:sz="0" w:space="0" w:color="auto" w:frame="1"/>
          <w:lang w:eastAsia="bg-BG"/>
        </w:rPr>
        <w:t xml:space="preserve">е в синхрон с основната мярка и времевата рамка на </w:t>
      </w:r>
      <w:r w:rsidR="00E46AC8" w:rsidRPr="00E46AC8">
        <w:rPr>
          <w:rFonts w:ascii="Times New Roman" w:eastAsia="Times New Roman" w:hAnsi="Times New Roman"/>
          <w:bCs/>
          <w:sz w:val="24"/>
          <w:szCs w:val="24"/>
          <w:bdr w:val="none" w:sz="0" w:space="0" w:color="auto" w:frame="1"/>
          <w:lang w:eastAsia="bg-BG"/>
        </w:rPr>
        <w:t>НППКАВ</w:t>
      </w:r>
      <w:r w:rsidR="00E46AC8" w:rsidRPr="00E46AC8" w:rsidDel="00E46AC8">
        <w:rPr>
          <w:rFonts w:ascii="Times New Roman" w:eastAsia="Times New Roman" w:hAnsi="Times New Roman"/>
          <w:bCs/>
          <w:sz w:val="24"/>
          <w:szCs w:val="24"/>
          <w:bdr w:val="none" w:sz="0" w:space="0" w:color="auto" w:frame="1"/>
          <w:lang w:eastAsia="bg-BG"/>
        </w:rPr>
        <w:t xml:space="preserve"> </w:t>
      </w:r>
      <w:r w:rsidR="00425464" w:rsidRPr="00252B6B">
        <w:rPr>
          <w:rFonts w:ascii="Times New Roman" w:eastAsia="Times New Roman" w:hAnsi="Times New Roman"/>
          <w:bCs/>
          <w:sz w:val="24"/>
          <w:szCs w:val="24"/>
          <w:bdr w:val="none" w:sz="0" w:space="0" w:color="auto" w:frame="1"/>
          <w:lang w:eastAsia="bg-BG"/>
        </w:rPr>
        <w:lastRenderedPageBreak/>
        <w:t>по отношение на сектор битово отопление.</w:t>
      </w:r>
      <w:r w:rsidR="000F38F2" w:rsidRPr="006F0B09">
        <w:rPr>
          <w:rFonts w:ascii="Times New Roman" w:eastAsia="Times New Roman" w:hAnsi="Times New Roman"/>
          <w:bCs/>
          <w:sz w:val="24"/>
          <w:szCs w:val="24"/>
          <w:bdr w:val="none" w:sz="0" w:space="0" w:color="auto" w:frame="1"/>
          <w:lang w:eastAsia="bg-BG"/>
        </w:rPr>
        <w:t xml:space="preserve"> </w:t>
      </w:r>
      <w:r w:rsidR="00425464" w:rsidRPr="006F0B09">
        <w:rPr>
          <w:rFonts w:ascii="Times New Roman" w:eastAsia="Times New Roman" w:hAnsi="Times New Roman"/>
          <w:bCs/>
          <w:sz w:val="24"/>
          <w:szCs w:val="24"/>
          <w:bdr w:val="none" w:sz="0" w:space="0" w:color="auto" w:frame="1"/>
          <w:lang w:eastAsia="bg-BG"/>
        </w:rPr>
        <w:t>Интегрираният проект се изпълнява от Столична община, в качеството на координиращ бенефициент, в партньорство с общините Бургас, Русе, Стара Загора, В</w:t>
      </w:r>
      <w:r w:rsidR="00425464" w:rsidRPr="00252B6B">
        <w:rPr>
          <w:rFonts w:ascii="Times New Roman" w:eastAsia="Times New Roman" w:hAnsi="Times New Roman"/>
          <w:bCs/>
          <w:sz w:val="24"/>
          <w:szCs w:val="24"/>
          <w:bdr w:val="none" w:sz="0" w:space="0" w:color="auto" w:frame="1"/>
          <w:lang w:eastAsia="bg-BG"/>
        </w:rPr>
        <w:t xml:space="preserve">елико Търново и Монтана, </w:t>
      </w:r>
      <w:r w:rsidR="00A53003">
        <w:rPr>
          <w:rFonts w:ascii="Times New Roman" w:eastAsia="Times New Roman" w:hAnsi="Times New Roman"/>
          <w:bCs/>
          <w:sz w:val="24"/>
          <w:szCs w:val="24"/>
          <w:bdr w:val="none" w:sz="0" w:space="0" w:color="auto" w:frame="1"/>
          <w:lang w:eastAsia="bg-BG"/>
        </w:rPr>
        <w:t xml:space="preserve">както </w:t>
      </w:r>
      <w:r w:rsidR="00425464" w:rsidRPr="00252B6B">
        <w:rPr>
          <w:rFonts w:ascii="Times New Roman" w:eastAsia="Times New Roman" w:hAnsi="Times New Roman"/>
          <w:bCs/>
          <w:sz w:val="24"/>
          <w:szCs w:val="24"/>
          <w:bdr w:val="none" w:sz="0" w:space="0" w:color="auto" w:frame="1"/>
          <w:lang w:eastAsia="bg-BG"/>
        </w:rPr>
        <w:t xml:space="preserve">и Клуб „Икономика 2000“, в качеството им на асоциирани бенефициенти. </w:t>
      </w:r>
      <w:r w:rsidR="000F38F2" w:rsidRPr="00752FFE">
        <w:rPr>
          <w:rFonts w:ascii="Times New Roman" w:eastAsia="Times New Roman" w:hAnsi="Times New Roman"/>
          <w:bCs/>
          <w:sz w:val="24"/>
          <w:szCs w:val="24"/>
          <w:bdr w:val="none" w:sz="0" w:space="0" w:color="auto" w:frame="1"/>
          <w:lang w:eastAsia="bg-BG"/>
        </w:rPr>
        <w:t>Бюджетът на проекта е 16,7 млн. евро, като финансовият принос от Европейската комисия е 60% или около 10 млн. евро, а националното съфинансиране е в размер на около 6,7 млн. евро.</w:t>
      </w:r>
      <w:r w:rsidR="000F38F2" w:rsidRPr="00792F66">
        <w:rPr>
          <w:rFonts w:ascii="Times New Roman" w:eastAsia="Times New Roman" w:hAnsi="Times New Roman"/>
          <w:bCs/>
          <w:sz w:val="24"/>
          <w:szCs w:val="24"/>
          <w:bdr w:val="none" w:sz="0" w:space="0" w:color="auto" w:frame="1"/>
          <w:lang w:val="ru-RU" w:eastAsia="bg-BG"/>
        </w:rPr>
        <w:t xml:space="preserve"> </w:t>
      </w:r>
      <w:r w:rsidR="00425464" w:rsidRPr="00752FFE">
        <w:rPr>
          <w:rFonts w:ascii="Times New Roman" w:eastAsia="Times New Roman" w:hAnsi="Times New Roman"/>
          <w:bCs/>
          <w:sz w:val="24"/>
          <w:szCs w:val="24"/>
          <w:bdr w:val="none" w:sz="0" w:space="0" w:color="auto" w:frame="1"/>
          <w:lang w:eastAsia="bg-BG"/>
        </w:rPr>
        <w:t xml:space="preserve">Проектът е структуриран в три фази – подготовка, демонстрация и изпълнение, с обща продължителност 6 години (02.10.2018 – 02.10.2024г.). </w:t>
      </w:r>
    </w:p>
    <w:p w14:paraId="06F40844" w14:textId="2375F020" w:rsidR="00344DBF" w:rsidRPr="009159A9" w:rsidRDefault="00E41378"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 xml:space="preserve">Съгласно информация от общините бенефициенти </w:t>
      </w:r>
      <w:r w:rsidR="0053714B">
        <w:rPr>
          <w:rFonts w:ascii="Times New Roman" w:eastAsia="Times New Roman" w:hAnsi="Times New Roman"/>
          <w:bCs/>
          <w:sz w:val="24"/>
          <w:szCs w:val="24"/>
          <w:bdr w:val="none" w:sz="0" w:space="0" w:color="auto" w:frame="1"/>
          <w:lang w:eastAsia="bg-BG"/>
        </w:rPr>
        <w:t xml:space="preserve">по проекта </w:t>
      </w:r>
      <w:r>
        <w:rPr>
          <w:rFonts w:ascii="Times New Roman" w:eastAsia="Times New Roman" w:hAnsi="Times New Roman"/>
          <w:bCs/>
          <w:sz w:val="24"/>
          <w:szCs w:val="24"/>
          <w:bdr w:val="none" w:sz="0" w:space="0" w:color="auto" w:frame="1"/>
          <w:lang w:eastAsia="bg-BG"/>
        </w:rPr>
        <w:t>е и</w:t>
      </w:r>
      <w:r w:rsidR="005C1B99" w:rsidRPr="009159A9">
        <w:rPr>
          <w:rFonts w:ascii="Times New Roman" w:eastAsia="Times New Roman" w:hAnsi="Times New Roman"/>
          <w:bCs/>
          <w:sz w:val="24"/>
          <w:szCs w:val="24"/>
          <w:bdr w:val="none" w:sz="0" w:space="0" w:color="auto" w:frame="1"/>
          <w:lang w:eastAsia="bg-BG"/>
        </w:rPr>
        <w:t>звършено</w:t>
      </w:r>
      <w:r w:rsidR="0019169B">
        <w:rPr>
          <w:rFonts w:ascii="Times New Roman" w:eastAsia="Times New Roman" w:hAnsi="Times New Roman"/>
          <w:bCs/>
          <w:sz w:val="24"/>
          <w:szCs w:val="24"/>
          <w:bdr w:val="none" w:sz="0" w:space="0" w:color="auto" w:frame="1"/>
          <w:lang w:eastAsia="bg-BG"/>
        </w:rPr>
        <w:t xml:space="preserve"> </w:t>
      </w:r>
      <w:r w:rsidR="005C1B99" w:rsidRPr="009159A9">
        <w:rPr>
          <w:rFonts w:ascii="Times New Roman" w:eastAsia="Times New Roman" w:hAnsi="Times New Roman"/>
          <w:bCs/>
          <w:sz w:val="24"/>
          <w:szCs w:val="24"/>
          <w:bdr w:val="none" w:sz="0" w:space="0" w:color="auto" w:frame="1"/>
          <w:lang w:eastAsia="bg-BG"/>
        </w:rPr>
        <w:t>следното:</w:t>
      </w:r>
    </w:p>
    <w:p w14:paraId="5AEDC92E" w14:textId="68BFBF06" w:rsidR="00425464" w:rsidRPr="009159A9" w:rsidRDefault="00425464"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r w:rsidRPr="00834903">
        <w:rPr>
          <w:rFonts w:ascii="Times New Roman" w:eastAsia="Times New Roman" w:hAnsi="Times New Roman"/>
          <w:bCs/>
          <w:i/>
          <w:sz w:val="24"/>
          <w:szCs w:val="24"/>
          <w:bdr w:val="none" w:sz="0" w:space="0" w:color="auto" w:frame="1"/>
          <w:lang w:eastAsia="bg-BG"/>
        </w:rPr>
        <w:t>Община Монтана</w:t>
      </w:r>
      <w:r w:rsidR="0019546C" w:rsidRPr="009159A9">
        <w:rPr>
          <w:rFonts w:ascii="Times New Roman" w:eastAsia="Times New Roman" w:hAnsi="Times New Roman"/>
          <w:bCs/>
          <w:sz w:val="24"/>
          <w:szCs w:val="24"/>
          <w:bdr w:val="none" w:sz="0" w:space="0" w:color="auto" w:frame="1"/>
          <w:lang w:eastAsia="bg-BG"/>
        </w:rPr>
        <w:t xml:space="preserve"> </w:t>
      </w:r>
      <w:r w:rsidR="00C510F6">
        <w:rPr>
          <w:rFonts w:ascii="Times New Roman" w:eastAsia="Times New Roman" w:hAnsi="Times New Roman"/>
          <w:bCs/>
          <w:sz w:val="24"/>
          <w:szCs w:val="24"/>
          <w:bdr w:val="none" w:sz="0" w:space="0" w:color="auto" w:frame="1"/>
          <w:lang w:eastAsia="bg-BG"/>
        </w:rPr>
        <w:t>–</w:t>
      </w:r>
      <w:r w:rsidRPr="009159A9">
        <w:rPr>
          <w:rFonts w:ascii="Times New Roman" w:eastAsia="Times New Roman" w:hAnsi="Times New Roman"/>
          <w:bCs/>
          <w:sz w:val="24"/>
          <w:szCs w:val="24"/>
          <w:bdr w:val="none" w:sz="0" w:space="0" w:color="auto" w:frame="1"/>
          <w:lang w:eastAsia="bg-BG"/>
        </w:rPr>
        <w:t xml:space="preserve"> </w:t>
      </w:r>
      <w:r w:rsidR="0010272C" w:rsidRPr="009159A9">
        <w:rPr>
          <w:rFonts w:ascii="Times New Roman" w:eastAsia="Times New Roman" w:hAnsi="Times New Roman"/>
          <w:bCs/>
          <w:sz w:val="24"/>
          <w:szCs w:val="24"/>
          <w:bdr w:val="none" w:sz="0" w:space="0" w:color="auto" w:frame="1"/>
          <w:lang w:eastAsia="bg-BG"/>
        </w:rPr>
        <w:t>В рамките на третата фаза са с</w:t>
      </w:r>
      <w:r w:rsidRPr="009159A9">
        <w:rPr>
          <w:rFonts w:ascii="Times New Roman" w:eastAsia="Times New Roman" w:hAnsi="Times New Roman"/>
          <w:bCs/>
          <w:sz w:val="24"/>
          <w:szCs w:val="24"/>
          <w:bdr w:val="none" w:sz="0" w:space="0" w:color="auto" w:frame="1"/>
          <w:lang w:eastAsia="bg-BG"/>
        </w:rPr>
        <w:t>ключ</w:t>
      </w:r>
      <w:r w:rsidR="0010272C" w:rsidRPr="009159A9">
        <w:rPr>
          <w:rFonts w:ascii="Times New Roman" w:eastAsia="Times New Roman" w:hAnsi="Times New Roman"/>
          <w:bCs/>
          <w:sz w:val="24"/>
          <w:szCs w:val="24"/>
          <w:bdr w:val="none" w:sz="0" w:space="0" w:color="auto" w:frame="1"/>
          <w:lang w:eastAsia="bg-BG"/>
        </w:rPr>
        <w:t>ени</w:t>
      </w:r>
      <w:r w:rsidRPr="009159A9">
        <w:rPr>
          <w:rFonts w:ascii="Times New Roman" w:eastAsia="Times New Roman" w:hAnsi="Times New Roman"/>
          <w:bCs/>
          <w:sz w:val="24"/>
          <w:szCs w:val="24"/>
          <w:bdr w:val="none" w:sz="0" w:space="0" w:color="auto" w:frame="1"/>
          <w:lang w:eastAsia="bg-BG"/>
        </w:rPr>
        <w:t xml:space="preserve"> </w:t>
      </w:r>
      <w:r w:rsidR="008E5625" w:rsidRPr="009159A9">
        <w:rPr>
          <w:rFonts w:ascii="Times New Roman" w:eastAsia="Times New Roman" w:hAnsi="Times New Roman"/>
          <w:bCs/>
          <w:sz w:val="24"/>
          <w:szCs w:val="24"/>
          <w:bdr w:val="none" w:sz="0" w:space="0" w:color="auto" w:frame="1"/>
          <w:lang w:eastAsia="bg-BG"/>
        </w:rPr>
        <w:t>2</w:t>
      </w:r>
      <w:r w:rsidR="0053714B">
        <w:rPr>
          <w:rFonts w:ascii="Times New Roman" w:eastAsia="Times New Roman" w:hAnsi="Times New Roman"/>
          <w:bCs/>
          <w:sz w:val="24"/>
          <w:szCs w:val="24"/>
          <w:bdr w:val="none" w:sz="0" w:space="0" w:color="auto" w:frame="1"/>
          <w:lang w:eastAsia="bg-BG"/>
        </w:rPr>
        <w:t>9</w:t>
      </w:r>
      <w:r w:rsidR="008E5625" w:rsidRPr="009159A9">
        <w:rPr>
          <w:rFonts w:ascii="Times New Roman" w:eastAsia="Times New Roman" w:hAnsi="Times New Roman"/>
          <w:bCs/>
          <w:sz w:val="24"/>
          <w:szCs w:val="24"/>
          <w:bdr w:val="none" w:sz="0" w:space="0" w:color="auto" w:frame="1"/>
          <w:lang w:eastAsia="bg-BG"/>
        </w:rPr>
        <w:t xml:space="preserve">2 броя </w:t>
      </w:r>
      <w:r w:rsidRPr="009159A9">
        <w:rPr>
          <w:rFonts w:ascii="Times New Roman" w:eastAsia="Times New Roman" w:hAnsi="Times New Roman"/>
          <w:bCs/>
          <w:sz w:val="24"/>
          <w:szCs w:val="24"/>
          <w:bdr w:val="none" w:sz="0" w:space="0" w:color="auto" w:frame="1"/>
          <w:lang w:eastAsia="bg-BG"/>
        </w:rPr>
        <w:t xml:space="preserve">договори с </w:t>
      </w:r>
      <w:r w:rsidR="008E5625" w:rsidRPr="009159A9">
        <w:rPr>
          <w:rFonts w:ascii="Times New Roman" w:eastAsia="Times New Roman" w:hAnsi="Times New Roman"/>
          <w:bCs/>
          <w:sz w:val="24"/>
          <w:szCs w:val="24"/>
          <w:bdr w:val="none" w:sz="0" w:space="0" w:color="auto" w:frame="1"/>
          <w:lang w:eastAsia="bg-BG"/>
        </w:rPr>
        <w:t xml:space="preserve">одобрените </w:t>
      </w:r>
      <w:r w:rsidR="0053714B">
        <w:rPr>
          <w:rFonts w:ascii="Times New Roman" w:eastAsia="Times New Roman" w:hAnsi="Times New Roman"/>
          <w:bCs/>
          <w:sz w:val="24"/>
          <w:szCs w:val="24"/>
          <w:bdr w:val="none" w:sz="0" w:space="0" w:color="auto" w:frame="1"/>
          <w:lang w:eastAsia="bg-BG"/>
        </w:rPr>
        <w:t xml:space="preserve">бенефициенти. Вече преминалите </w:t>
      </w:r>
      <w:r w:rsidR="0056419D">
        <w:rPr>
          <w:rFonts w:ascii="Times New Roman" w:eastAsia="Times New Roman" w:hAnsi="Times New Roman"/>
          <w:bCs/>
          <w:sz w:val="24"/>
          <w:szCs w:val="24"/>
          <w:bdr w:val="none" w:sz="0" w:space="0" w:color="auto" w:frame="1"/>
          <w:lang w:eastAsia="bg-BG"/>
        </w:rPr>
        <w:t>към</w:t>
      </w:r>
      <w:r w:rsidR="0053714B">
        <w:rPr>
          <w:rFonts w:ascii="Times New Roman" w:eastAsia="Times New Roman" w:hAnsi="Times New Roman"/>
          <w:bCs/>
          <w:sz w:val="24"/>
          <w:szCs w:val="24"/>
          <w:bdr w:val="none" w:sz="0" w:space="0" w:color="auto" w:frame="1"/>
          <w:lang w:eastAsia="bg-BG"/>
        </w:rPr>
        <w:t xml:space="preserve"> по-еколог</w:t>
      </w:r>
      <w:r w:rsidR="006B6180">
        <w:rPr>
          <w:rFonts w:ascii="Times New Roman" w:eastAsia="Times New Roman" w:hAnsi="Times New Roman"/>
          <w:bCs/>
          <w:sz w:val="24"/>
          <w:szCs w:val="24"/>
          <w:bdr w:val="none" w:sz="0" w:space="0" w:color="auto" w:frame="1"/>
          <w:lang w:eastAsia="bg-BG"/>
        </w:rPr>
        <w:t>о</w:t>
      </w:r>
      <w:r w:rsidR="0053714B">
        <w:rPr>
          <w:rFonts w:ascii="Times New Roman" w:eastAsia="Times New Roman" w:hAnsi="Times New Roman"/>
          <w:bCs/>
          <w:sz w:val="24"/>
          <w:szCs w:val="24"/>
          <w:bdr w:val="none" w:sz="0" w:space="0" w:color="auto" w:frame="1"/>
          <w:lang w:eastAsia="bg-BG"/>
        </w:rPr>
        <w:t xml:space="preserve">съобразно отопление </w:t>
      </w:r>
      <w:r w:rsidR="008E5625" w:rsidRPr="009159A9">
        <w:rPr>
          <w:rFonts w:ascii="Times New Roman" w:eastAsia="Times New Roman" w:hAnsi="Times New Roman"/>
          <w:bCs/>
          <w:sz w:val="24"/>
          <w:szCs w:val="24"/>
          <w:bdr w:val="none" w:sz="0" w:space="0" w:color="auto" w:frame="1"/>
          <w:lang w:eastAsia="bg-BG"/>
        </w:rPr>
        <w:t xml:space="preserve">домакинства </w:t>
      </w:r>
      <w:r w:rsidR="0053714B">
        <w:rPr>
          <w:rFonts w:ascii="Times New Roman" w:eastAsia="Times New Roman" w:hAnsi="Times New Roman"/>
          <w:bCs/>
          <w:sz w:val="24"/>
          <w:szCs w:val="24"/>
          <w:bdr w:val="none" w:sz="0" w:space="0" w:color="auto" w:frame="1"/>
          <w:lang w:eastAsia="bg-BG"/>
        </w:rPr>
        <w:t>са 288 броя</w:t>
      </w:r>
      <w:r w:rsidR="00802689" w:rsidRPr="009159A9">
        <w:rPr>
          <w:rFonts w:ascii="Times New Roman" w:eastAsia="Times New Roman" w:hAnsi="Times New Roman"/>
          <w:bCs/>
          <w:sz w:val="24"/>
          <w:szCs w:val="24"/>
          <w:bdr w:val="none" w:sz="0" w:space="0" w:color="auto" w:frame="1"/>
          <w:lang w:eastAsia="bg-BG"/>
        </w:rPr>
        <w:t>;</w:t>
      </w:r>
    </w:p>
    <w:p w14:paraId="6F4BD78E" w14:textId="51AAF3E3" w:rsidR="00425464" w:rsidRPr="008C4F34" w:rsidRDefault="00425464"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r w:rsidRPr="00834903">
        <w:rPr>
          <w:rFonts w:ascii="Times New Roman" w:eastAsia="Times New Roman" w:hAnsi="Times New Roman"/>
          <w:bCs/>
          <w:i/>
          <w:sz w:val="24"/>
          <w:szCs w:val="24"/>
          <w:bdr w:val="none" w:sz="0" w:space="0" w:color="auto" w:frame="1"/>
          <w:lang w:eastAsia="bg-BG"/>
        </w:rPr>
        <w:t>Община Бургас</w:t>
      </w:r>
      <w:r w:rsidR="004663E0" w:rsidRPr="009159A9">
        <w:rPr>
          <w:rFonts w:ascii="Times New Roman" w:eastAsia="Times New Roman" w:hAnsi="Times New Roman"/>
          <w:bCs/>
          <w:sz w:val="24"/>
          <w:szCs w:val="24"/>
          <w:bdr w:val="none" w:sz="0" w:space="0" w:color="auto" w:frame="1"/>
          <w:lang w:eastAsia="bg-BG"/>
        </w:rPr>
        <w:t xml:space="preserve"> </w:t>
      </w:r>
      <w:r w:rsidR="00C510F6">
        <w:rPr>
          <w:rFonts w:ascii="Times New Roman" w:eastAsia="Times New Roman" w:hAnsi="Times New Roman"/>
          <w:bCs/>
          <w:sz w:val="24"/>
          <w:szCs w:val="24"/>
          <w:bdr w:val="none" w:sz="0" w:space="0" w:color="auto" w:frame="1"/>
          <w:lang w:eastAsia="bg-BG"/>
        </w:rPr>
        <w:t>–</w:t>
      </w:r>
      <w:r w:rsidRPr="009159A9">
        <w:rPr>
          <w:rFonts w:ascii="Times New Roman" w:eastAsia="Times New Roman" w:hAnsi="Times New Roman"/>
          <w:bCs/>
          <w:sz w:val="24"/>
          <w:szCs w:val="24"/>
          <w:bdr w:val="none" w:sz="0" w:space="0" w:color="auto" w:frame="1"/>
          <w:lang w:eastAsia="bg-BG"/>
        </w:rPr>
        <w:t xml:space="preserve"> </w:t>
      </w:r>
      <w:r w:rsidR="00847B32">
        <w:rPr>
          <w:rFonts w:ascii="Times New Roman" w:eastAsia="Times New Roman" w:hAnsi="Times New Roman"/>
          <w:bCs/>
          <w:sz w:val="24"/>
          <w:szCs w:val="24"/>
          <w:bdr w:val="none" w:sz="0" w:space="0" w:color="auto" w:frame="1"/>
          <w:lang w:eastAsia="bg-BG"/>
        </w:rPr>
        <w:t>през 2023г.</w:t>
      </w:r>
      <w:r w:rsidR="00BD08C0">
        <w:rPr>
          <w:rFonts w:ascii="Times New Roman" w:eastAsia="Times New Roman" w:hAnsi="Times New Roman"/>
          <w:bCs/>
          <w:sz w:val="24"/>
          <w:szCs w:val="24"/>
          <w:bdr w:val="none" w:sz="0" w:space="0" w:color="auto" w:frame="1"/>
          <w:lang w:eastAsia="bg-BG"/>
        </w:rPr>
        <w:t>, в рамките на третата фаза</w:t>
      </w:r>
      <w:r w:rsidR="00847B32">
        <w:rPr>
          <w:rFonts w:ascii="Times New Roman" w:eastAsia="Times New Roman" w:hAnsi="Times New Roman"/>
          <w:bCs/>
          <w:sz w:val="24"/>
          <w:szCs w:val="24"/>
          <w:bdr w:val="none" w:sz="0" w:space="0" w:color="auto" w:frame="1"/>
          <w:lang w:eastAsia="bg-BG"/>
        </w:rPr>
        <w:t xml:space="preserve"> е обявен прием</w:t>
      </w:r>
      <w:r w:rsidR="00BD08C0">
        <w:rPr>
          <w:rFonts w:ascii="Times New Roman" w:eastAsia="Times New Roman" w:hAnsi="Times New Roman"/>
          <w:bCs/>
          <w:sz w:val="24"/>
          <w:szCs w:val="24"/>
          <w:bdr w:val="none" w:sz="0" w:space="0" w:color="auto" w:frame="1"/>
          <w:lang w:eastAsia="bg-BG"/>
        </w:rPr>
        <w:t xml:space="preserve"> на заявления за граждани. Постъпили са 686 бр. заявления. Като общ резултат към 31.12.2023г. са доставени и монтирани 912 бр. нови отоплителни уреди</w:t>
      </w:r>
      <w:r w:rsidRPr="008C4F34">
        <w:rPr>
          <w:rFonts w:ascii="Times New Roman" w:eastAsia="Times New Roman" w:hAnsi="Times New Roman"/>
          <w:bCs/>
          <w:sz w:val="24"/>
          <w:szCs w:val="24"/>
          <w:bdr w:val="none" w:sz="0" w:space="0" w:color="auto" w:frame="1"/>
          <w:lang w:eastAsia="bg-BG"/>
        </w:rPr>
        <w:t>;</w:t>
      </w:r>
    </w:p>
    <w:p w14:paraId="4B99475D" w14:textId="4D6AF2B4" w:rsidR="00425464" w:rsidRPr="008C4F34" w:rsidRDefault="00425464"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r w:rsidRPr="008C4F34">
        <w:rPr>
          <w:rFonts w:ascii="Times New Roman" w:eastAsia="Times New Roman" w:hAnsi="Times New Roman"/>
          <w:bCs/>
          <w:i/>
          <w:sz w:val="24"/>
          <w:szCs w:val="24"/>
          <w:bdr w:val="none" w:sz="0" w:space="0" w:color="auto" w:frame="1"/>
          <w:lang w:eastAsia="bg-BG"/>
        </w:rPr>
        <w:t>Община Велико Търново</w:t>
      </w:r>
      <w:r w:rsidRPr="008C4F34">
        <w:rPr>
          <w:rFonts w:ascii="Times New Roman" w:eastAsia="Times New Roman" w:hAnsi="Times New Roman"/>
          <w:bCs/>
          <w:sz w:val="24"/>
          <w:szCs w:val="24"/>
          <w:bdr w:val="none" w:sz="0" w:space="0" w:color="auto" w:frame="1"/>
          <w:lang w:eastAsia="bg-BG"/>
        </w:rPr>
        <w:t xml:space="preserve"> </w:t>
      </w:r>
      <w:r w:rsidR="00C510F6">
        <w:rPr>
          <w:rFonts w:ascii="Times New Roman" w:eastAsia="Times New Roman" w:hAnsi="Times New Roman"/>
          <w:bCs/>
          <w:sz w:val="24"/>
          <w:szCs w:val="24"/>
          <w:bdr w:val="none" w:sz="0" w:space="0" w:color="auto" w:frame="1"/>
          <w:lang w:eastAsia="bg-BG"/>
        </w:rPr>
        <w:t>–</w:t>
      </w:r>
      <w:r w:rsidR="008C4F34">
        <w:rPr>
          <w:rFonts w:ascii="Times New Roman" w:eastAsia="Times New Roman" w:hAnsi="Times New Roman"/>
          <w:bCs/>
          <w:sz w:val="24"/>
          <w:szCs w:val="24"/>
          <w:bdr w:val="none" w:sz="0" w:space="0" w:color="auto" w:frame="1"/>
          <w:lang w:eastAsia="bg-BG"/>
        </w:rPr>
        <w:t xml:space="preserve"> </w:t>
      </w:r>
      <w:r w:rsidR="0056419D">
        <w:rPr>
          <w:rFonts w:ascii="Times New Roman" w:eastAsia="Times New Roman" w:hAnsi="Times New Roman"/>
          <w:bCs/>
          <w:sz w:val="24"/>
          <w:szCs w:val="24"/>
          <w:bdr w:val="none" w:sz="0" w:space="0" w:color="auto" w:frame="1"/>
          <w:lang w:eastAsia="bg-BG"/>
        </w:rPr>
        <w:t>към края на 2023г. са подменени уредите на твърдо гориво на 386 домакинства, от които 330 бр. през 2023г. и 56 бр. през 2022г.</w:t>
      </w:r>
      <w:r w:rsidRPr="008C4F34">
        <w:rPr>
          <w:rFonts w:ascii="Times New Roman" w:eastAsia="Times New Roman" w:hAnsi="Times New Roman"/>
          <w:bCs/>
          <w:sz w:val="24"/>
          <w:szCs w:val="24"/>
          <w:bdr w:val="none" w:sz="0" w:space="0" w:color="auto" w:frame="1"/>
          <w:lang w:eastAsia="bg-BG"/>
        </w:rPr>
        <w:t>;</w:t>
      </w:r>
    </w:p>
    <w:p w14:paraId="5253A076" w14:textId="4AFA8C3D" w:rsidR="00425464" w:rsidRPr="008C4F34" w:rsidRDefault="00425464"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r w:rsidRPr="008C4F34">
        <w:rPr>
          <w:rFonts w:ascii="Times New Roman" w:eastAsia="Times New Roman" w:hAnsi="Times New Roman"/>
          <w:bCs/>
          <w:i/>
          <w:sz w:val="24"/>
          <w:szCs w:val="24"/>
          <w:bdr w:val="none" w:sz="0" w:space="0" w:color="auto" w:frame="1"/>
          <w:lang w:eastAsia="bg-BG"/>
        </w:rPr>
        <w:t>Община Стара Загора</w:t>
      </w:r>
      <w:r w:rsidRPr="008C4F34">
        <w:rPr>
          <w:rFonts w:ascii="Times New Roman" w:eastAsia="Times New Roman" w:hAnsi="Times New Roman"/>
          <w:bCs/>
          <w:sz w:val="24"/>
          <w:szCs w:val="24"/>
          <w:bdr w:val="none" w:sz="0" w:space="0" w:color="auto" w:frame="1"/>
          <w:lang w:eastAsia="bg-BG"/>
        </w:rPr>
        <w:t xml:space="preserve"> </w:t>
      </w:r>
      <w:r w:rsidR="00C510F6">
        <w:rPr>
          <w:rFonts w:ascii="Times New Roman" w:eastAsia="Times New Roman" w:hAnsi="Times New Roman"/>
          <w:bCs/>
          <w:sz w:val="24"/>
          <w:szCs w:val="24"/>
          <w:bdr w:val="none" w:sz="0" w:space="0" w:color="auto" w:frame="1"/>
          <w:lang w:eastAsia="bg-BG"/>
        </w:rPr>
        <w:t xml:space="preserve">– </w:t>
      </w:r>
      <w:r w:rsidR="001D7C9F">
        <w:rPr>
          <w:rFonts w:ascii="Times New Roman" w:eastAsia="Times New Roman" w:hAnsi="Times New Roman"/>
          <w:bCs/>
          <w:sz w:val="24"/>
          <w:szCs w:val="24"/>
          <w:bdr w:val="none" w:sz="0" w:space="0" w:color="auto" w:frame="1"/>
          <w:lang w:eastAsia="bg-BG"/>
        </w:rPr>
        <w:t xml:space="preserve">в рамките на третата фаза на проекта тече подмяна на отоплителните уреди на 878 домакинства. </w:t>
      </w:r>
      <w:r w:rsidR="004C6FE0">
        <w:rPr>
          <w:rFonts w:ascii="Times New Roman" w:eastAsia="Times New Roman" w:hAnsi="Times New Roman"/>
          <w:bCs/>
          <w:sz w:val="24"/>
          <w:szCs w:val="24"/>
          <w:bdr w:val="none" w:sz="0" w:space="0" w:color="auto" w:frame="1"/>
          <w:lang w:eastAsia="bg-BG"/>
        </w:rPr>
        <w:t>През тази фаза през 2023г. е извършена подмяна на уредите на 181 домакинства и са одобрени 495 кандидат</w:t>
      </w:r>
      <w:r w:rsidR="00575FA2">
        <w:rPr>
          <w:rFonts w:ascii="Times New Roman" w:eastAsia="Times New Roman" w:hAnsi="Times New Roman"/>
          <w:bCs/>
          <w:sz w:val="24"/>
          <w:szCs w:val="24"/>
          <w:bdr w:val="none" w:sz="0" w:space="0" w:color="auto" w:frame="1"/>
          <w:lang w:eastAsia="bg-BG"/>
        </w:rPr>
        <w:t>и</w:t>
      </w:r>
      <w:r w:rsidR="004C6FE0">
        <w:rPr>
          <w:rFonts w:ascii="Times New Roman" w:eastAsia="Times New Roman" w:hAnsi="Times New Roman"/>
          <w:bCs/>
          <w:sz w:val="24"/>
          <w:szCs w:val="24"/>
          <w:bdr w:val="none" w:sz="0" w:space="0" w:color="auto" w:frame="1"/>
          <w:lang w:eastAsia="bg-BG"/>
        </w:rPr>
        <w:t xml:space="preserve"> за подмяна на отоплителните уреди</w:t>
      </w:r>
      <w:r w:rsidRPr="008C4F34">
        <w:rPr>
          <w:rFonts w:ascii="Times New Roman" w:eastAsia="Times New Roman" w:hAnsi="Times New Roman"/>
          <w:bCs/>
          <w:sz w:val="24"/>
          <w:szCs w:val="24"/>
          <w:bdr w:val="none" w:sz="0" w:space="0" w:color="auto" w:frame="1"/>
          <w:lang w:eastAsia="bg-BG"/>
        </w:rPr>
        <w:t xml:space="preserve">; </w:t>
      </w:r>
    </w:p>
    <w:p w14:paraId="6D3FBB5C" w14:textId="6217F73E" w:rsidR="00425464" w:rsidRPr="008C4F34" w:rsidRDefault="00425464"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r w:rsidRPr="008C4F34">
        <w:rPr>
          <w:rFonts w:ascii="Times New Roman" w:eastAsia="Times New Roman" w:hAnsi="Times New Roman"/>
          <w:bCs/>
          <w:i/>
          <w:sz w:val="24"/>
          <w:szCs w:val="24"/>
          <w:bdr w:val="none" w:sz="0" w:space="0" w:color="auto" w:frame="1"/>
          <w:lang w:eastAsia="bg-BG"/>
        </w:rPr>
        <w:t>Община Русе</w:t>
      </w:r>
      <w:r w:rsidRPr="008C4F34">
        <w:rPr>
          <w:rFonts w:ascii="Times New Roman" w:eastAsia="Times New Roman" w:hAnsi="Times New Roman"/>
          <w:bCs/>
          <w:sz w:val="24"/>
          <w:szCs w:val="24"/>
          <w:bdr w:val="none" w:sz="0" w:space="0" w:color="auto" w:frame="1"/>
          <w:lang w:eastAsia="bg-BG"/>
        </w:rPr>
        <w:t xml:space="preserve"> </w:t>
      </w:r>
      <w:r w:rsidR="00575FA2">
        <w:rPr>
          <w:rFonts w:ascii="Times New Roman" w:eastAsia="Times New Roman" w:hAnsi="Times New Roman"/>
          <w:bCs/>
          <w:sz w:val="24"/>
          <w:szCs w:val="24"/>
          <w:bdr w:val="none" w:sz="0" w:space="0" w:color="auto" w:frame="1"/>
          <w:lang w:eastAsia="bg-BG"/>
        </w:rPr>
        <w:t>– през 2023г. са</w:t>
      </w:r>
      <w:r w:rsidR="00575FA2" w:rsidRPr="008C4F34">
        <w:rPr>
          <w:rFonts w:ascii="Times New Roman" w:eastAsia="Times New Roman" w:hAnsi="Times New Roman"/>
          <w:bCs/>
          <w:sz w:val="24"/>
          <w:szCs w:val="24"/>
          <w:bdr w:val="none" w:sz="0" w:space="0" w:color="auto" w:frame="1"/>
          <w:lang w:eastAsia="bg-BG"/>
        </w:rPr>
        <w:t xml:space="preserve"> </w:t>
      </w:r>
      <w:r w:rsidR="009544D7" w:rsidRPr="008C4F34">
        <w:rPr>
          <w:rFonts w:ascii="Times New Roman" w:eastAsia="Times New Roman" w:hAnsi="Times New Roman"/>
          <w:bCs/>
          <w:sz w:val="24"/>
          <w:szCs w:val="24"/>
          <w:bdr w:val="none" w:sz="0" w:space="0" w:color="auto" w:frame="1"/>
          <w:lang w:eastAsia="bg-BG"/>
        </w:rPr>
        <w:t>одобр</w:t>
      </w:r>
      <w:r w:rsidR="00575FA2">
        <w:rPr>
          <w:rFonts w:ascii="Times New Roman" w:eastAsia="Times New Roman" w:hAnsi="Times New Roman"/>
          <w:bCs/>
          <w:sz w:val="24"/>
          <w:szCs w:val="24"/>
          <w:bdr w:val="none" w:sz="0" w:space="0" w:color="auto" w:frame="1"/>
          <w:lang w:eastAsia="bg-BG"/>
        </w:rPr>
        <w:t>ени 211 кандидати за подмяна на старите отоплителни устройства. Доставени са 217 бр. нови уреди</w:t>
      </w:r>
      <w:r w:rsidRPr="008C4F34">
        <w:rPr>
          <w:rFonts w:ascii="Times New Roman" w:eastAsia="Times New Roman" w:hAnsi="Times New Roman"/>
          <w:bCs/>
          <w:sz w:val="24"/>
          <w:szCs w:val="24"/>
          <w:bdr w:val="none" w:sz="0" w:space="0" w:color="auto" w:frame="1"/>
          <w:lang w:eastAsia="bg-BG"/>
        </w:rPr>
        <w:t xml:space="preserve">; </w:t>
      </w:r>
    </w:p>
    <w:p w14:paraId="4103B939" w14:textId="55E7B528" w:rsidR="00425464" w:rsidRPr="008C4F34" w:rsidRDefault="00425464" w:rsidP="00BA14AB">
      <w:pPr>
        <w:spacing w:after="0" w:line="240" w:lineRule="auto"/>
        <w:ind w:firstLine="1134"/>
        <w:jc w:val="both"/>
        <w:rPr>
          <w:rFonts w:ascii="Times New Roman" w:eastAsia="Times New Roman" w:hAnsi="Times New Roman"/>
          <w:bCs/>
          <w:sz w:val="24"/>
          <w:szCs w:val="24"/>
          <w:bdr w:val="none" w:sz="0" w:space="0" w:color="auto" w:frame="1"/>
          <w:lang w:eastAsia="bg-BG"/>
        </w:rPr>
      </w:pPr>
      <w:r w:rsidRPr="008C4F34">
        <w:rPr>
          <w:rFonts w:ascii="Times New Roman" w:eastAsia="Times New Roman" w:hAnsi="Times New Roman"/>
          <w:bCs/>
          <w:i/>
          <w:sz w:val="24"/>
          <w:szCs w:val="24"/>
          <w:bdr w:val="none" w:sz="0" w:space="0" w:color="auto" w:frame="1"/>
          <w:lang w:eastAsia="bg-BG"/>
        </w:rPr>
        <w:t>Столична община</w:t>
      </w:r>
      <w:r w:rsidR="00595FAB" w:rsidRPr="00792F66">
        <w:rPr>
          <w:rFonts w:ascii="Times New Roman" w:eastAsia="Times New Roman" w:hAnsi="Times New Roman"/>
          <w:bCs/>
          <w:sz w:val="24"/>
          <w:szCs w:val="24"/>
          <w:bdr w:val="none" w:sz="0" w:space="0" w:color="auto" w:frame="1"/>
          <w:lang w:val="ru-RU" w:eastAsia="bg-BG"/>
        </w:rPr>
        <w:t xml:space="preserve"> </w:t>
      </w:r>
      <w:r w:rsidR="00C510F6">
        <w:rPr>
          <w:rFonts w:ascii="Times New Roman" w:eastAsia="Times New Roman" w:hAnsi="Times New Roman"/>
          <w:bCs/>
          <w:sz w:val="24"/>
          <w:szCs w:val="24"/>
          <w:bdr w:val="none" w:sz="0" w:space="0" w:color="auto" w:frame="1"/>
          <w:lang w:eastAsia="bg-BG"/>
        </w:rPr>
        <w:t>–</w:t>
      </w:r>
      <w:r w:rsidR="009B50C8" w:rsidRPr="008C4F34">
        <w:rPr>
          <w:rFonts w:ascii="Times New Roman" w:eastAsia="Times New Roman" w:hAnsi="Times New Roman"/>
          <w:bCs/>
          <w:sz w:val="24"/>
          <w:szCs w:val="24"/>
          <w:bdr w:val="none" w:sz="0" w:space="0" w:color="auto" w:frame="1"/>
          <w:lang w:eastAsia="bg-BG"/>
        </w:rPr>
        <w:t xml:space="preserve"> </w:t>
      </w:r>
      <w:r w:rsidR="00BA14AB">
        <w:rPr>
          <w:rFonts w:ascii="Times New Roman" w:eastAsia="Times New Roman" w:hAnsi="Times New Roman"/>
          <w:bCs/>
          <w:sz w:val="24"/>
          <w:szCs w:val="24"/>
          <w:bdr w:val="none" w:sz="0" w:space="0" w:color="auto" w:frame="1"/>
          <w:lang w:eastAsia="bg-BG"/>
        </w:rPr>
        <w:t xml:space="preserve">в рамките на третата фаза на проекта са публикувани шест покани за кандидатстване. </w:t>
      </w:r>
      <w:r w:rsidR="00BA14AB" w:rsidRPr="00BA14AB">
        <w:rPr>
          <w:rFonts w:ascii="Times New Roman" w:eastAsia="Times New Roman" w:hAnsi="Times New Roman"/>
          <w:bCs/>
          <w:sz w:val="24"/>
          <w:szCs w:val="24"/>
          <w:bdr w:val="none" w:sz="0" w:space="0" w:color="auto" w:frame="1"/>
          <w:lang w:eastAsia="bg-BG"/>
        </w:rPr>
        <w:t xml:space="preserve">Приемът на документи и сключването на индивидуални договори с одобрените домакинства </w:t>
      </w:r>
      <w:r w:rsidR="00D433E2">
        <w:rPr>
          <w:rFonts w:ascii="Times New Roman" w:eastAsia="Times New Roman" w:hAnsi="Times New Roman"/>
          <w:bCs/>
          <w:sz w:val="24"/>
          <w:szCs w:val="24"/>
          <w:bdr w:val="none" w:sz="0" w:space="0" w:color="auto" w:frame="1"/>
          <w:lang w:eastAsia="bg-BG"/>
        </w:rPr>
        <w:t>е</w:t>
      </w:r>
      <w:r w:rsidR="00BA14AB" w:rsidRPr="00BA14AB">
        <w:rPr>
          <w:rFonts w:ascii="Times New Roman" w:eastAsia="Times New Roman" w:hAnsi="Times New Roman"/>
          <w:bCs/>
          <w:sz w:val="24"/>
          <w:szCs w:val="24"/>
          <w:bdr w:val="none" w:sz="0" w:space="0" w:color="auto" w:frame="1"/>
          <w:lang w:eastAsia="bg-BG"/>
        </w:rPr>
        <w:t xml:space="preserve"> </w:t>
      </w:r>
      <w:r w:rsidR="00BA14AB">
        <w:rPr>
          <w:rFonts w:ascii="Times New Roman" w:eastAsia="Times New Roman" w:hAnsi="Times New Roman"/>
          <w:bCs/>
          <w:sz w:val="24"/>
          <w:szCs w:val="24"/>
          <w:bdr w:val="none" w:sz="0" w:space="0" w:color="auto" w:frame="1"/>
          <w:lang w:eastAsia="bg-BG"/>
        </w:rPr>
        <w:t xml:space="preserve">до </w:t>
      </w:r>
      <w:r w:rsidR="00BA14AB" w:rsidRPr="00BA14AB">
        <w:rPr>
          <w:rFonts w:ascii="Times New Roman" w:eastAsia="Times New Roman" w:hAnsi="Times New Roman"/>
          <w:bCs/>
          <w:sz w:val="24"/>
          <w:szCs w:val="24"/>
          <w:bdr w:val="none" w:sz="0" w:space="0" w:color="auto" w:frame="1"/>
          <w:lang w:eastAsia="bg-BG"/>
        </w:rPr>
        <w:t>изчерпване на финансовия ресурс по проекта, но не по-късно от 30.04.2024г.</w:t>
      </w:r>
      <w:r w:rsidR="00E433CA">
        <w:rPr>
          <w:rFonts w:ascii="Times New Roman" w:eastAsia="Times New Roman" w:hAnsi="Times New Roman"/>
          <w:bCs/>
          <w:sz w:val="24"/>
          <w:szCs w:val="24"/>
          <w:bdr w:val="none" w:sz="0" w:space="0" w:color="auto" w:frame="1"/>
          <w:lang w:eastAsia="bg-BG"/>
        </w:rPr>
        <w:t xml:space="preserve"> </w:t>
      </w:r>
      <w:r w:rsidR="00BA14AB" w:rsidRPr="00BA14AB">
        <w:rPr>
          <w:rFonts w:ascii="Times New Roman" w:eastAsia="Times New Roman" w:hAnsi="Times New Roman"/>
          <w:bCs/>
          <w:iCs/>
          <w:sz w:val="24"/>
          <w:szCs w:val="24"/>
          <w:bdr w:val="none" w:sz="0" w:space="0" w:color="auto" w:frame="1"/>
          <w:lang w:eastAsia="bg-BG"/>
        </w:rPr>
        <w:t xml:space="preserve">Общо по </w:t>
      </w:r>
      <w:r w:rsidR="00E433CA">
        <w:rPr>
          <w:rFonts w:ascii="Times New Roman" w:eastAsia="Times New Roman" w:hAnsi="Times New Roman"/>
          <w:bCs/>
          <w:iCs/>
          <w:sz w:val="24"/>
          <w:szCs w:val="24"/>
          <w:bdr w:val="none" w:sz="0" w:space="0" w:color="auto" w:frame="1"/>
          <w:lang w:eastAsia="bg-BG"/>
        </w:rPr>
        <w:t>п</w:t>
      </w:r>
      <w:r w:rsidR="00BA14AB" w:rsidRPr="00BA14AB">
        <w:rPr>
          <w:rFonts w:ascii="Times New Roman" w:eastAsia="Times New Roman" w:hAnsi="Times New Roman"/>
          <w:bCs/>
          <w:iCs/>
          <w:sz w:val="24"/>
          <w:szCs w:val="24"/>
          <w:bdr w:val="none" w:sz="0" w:space="0" w:color="auto" w:frame="1"/>
          <w:lang w:eastAsia="bg-BG"/>
        </w:rPr>
        <w:t xml:space="preserve">роекта към края на м. декември 2023г. са класирани 1 475 кандидати, сключени са 559 договора, монтирани и въведени в експлоатация са 507 броя отоплителни устройства, от които 488 броя отоплителни устройства на </w:t>
      </w:r>
      <w:proofErr w:type="spellStart"/>
      <w:r w:rsidR="00BA14AB" w:rsidRPr="00BA14AB">
        <w:rPr>
          <w:rFonts w:ascii="Times New Roman" w:eastAsia="Times New Roman" w:hAnsi="Times New Roman"/>
          <w:bCs/>
          <w:iCs/>
          <w:sz w:val="24"/>
          <w:szCs w:val="24"/>
          <w:bdr w:val="none" w:sz="0" w:space="0" w:color="auto" w:frame="1"/>
          <w:lang w:eastAsia="bg-BG"/>
        </w:rPr>
        <w:t>пелети</w:t>
      </w:r>
      <w:proofErr w:type="spellEnd"/>
      <w:r w:rsidR="00BA14AB" w:rsidRPr="00BA14AB">
        <w:rPr>
          <w:rFonts w:ascii="Times New Roman" w:eastAsia="Times New Roman" w:hAnsi="Times New Roman"/>
          <w:bCs/>
          <w:iCs/>
          <w:sz w:val="24"/>
          <w:szCs w:val="24"/>
          <w:bdr w:val="none" w:sz="0" w:space="0" w:color="auto" w:frame="1"/>
          <w:lang w:eastAsia="bg-BG"/>
        </w:rPr>
        <w:t xml:space="preserve"> и 19 броя отоплителни устройства на природен газ.</w:t>
      </w:r>
      <w:r w:rsidR="00E433CA">
        <w:rPr>
          <w:rFonts w:ascii="Times New Roman" w:eastAsia="Times New Roman" w:hAnsi="Times New Roman"/>
          <w:bCs/>
          <w:iCs/>
          <w:sz w:val="24"/>
          <w:szCs w:val="24"/>
          <w:bdr w:val="none" w:sz="0" w:space="0" w:color="auto" w:frame="1"/>
          <w:lang w:eastAsia="bg-BG"/>
        </w:rPr>
        <w:t xml:space="preserve"> Конкретно</w:t>
      </w:r>
      <w:r w:rsidR="00BA14AB" w:rsidRPr="00BA14AB">
        <w:rPr>
          <w:rFonts w:ascii="Times New Roman" w:eastAsia="Times New Roman" w:hAnsi="Times New Roman"/>
          <w:bCs/>
          <w:sz w:val="24"/>
          <w:szCs w:val="24"/>
          <w:bdr w:val="none" w:sz="0" w:space="0" w:color="auto" w:frame="1"/>
          <w:lang w:eastAsia="bg-BG"/>
        </w:rPr>
        <w:t xml:space="preserve"> през 2023г. в Столична община са монтирани и въведени в експлоатация 102 броя отоплителни уреди, работещи на </w:t>
      </w:r>
      <w:proofErr w:type="spellStart"/>
      <w:r w:rsidR="00BA14AB" w:rsidRPr="00BA14AB">
        <w:rPr>
          <w:rFonts w:ascii="Times New Roman" w:eastAsia="Times New Roman" w:hAnsi="Times New Roman"/>
          <w:bCs/>
          <w:sz w:val="24"/>
          <w:szCs w:val="24"/>
          <w:bdr w:val="none" w:sz="0" w:space="0" w:color="auto" w:frame="1"/>
          <w:lang w:eastAsia="bg-BG"/>
        </w:rPr>
        <w:t>пелети</w:t>
      </w:r>
      <w:proofErr w:type="spellEnd"/>
      <w:r w:rsidR="00BA14AB" w:rsidRPr="00BA14AB">
        <w:rPr>
          <w:rFonts w:ascii="Times New Roman" w:eastAsia="Times New Roman" w:hAnsi="Times New Roman"/>
          <w:bCs/>
          <w:sz w:val="24"/>
          <w:szCs w:val="24"/>
          <w:bdr w:val="none" w:sz="0" w:space="0" w:color="auto" w:frame="1"/>
          <w:lang w:eastAsia="bg-BG"/>
        </w:rPr>
        <w:t>, които са заменили съществуващите в домакинствата стари отоплителни уреди, работещи на дърва и/или въглища.</w:t>
      </w:r>
      <w:r w:rsidR="00BA14AB">
        <w:rPr>
          <w:rFonts w:ascii="Times New Roman" w:eastAsia="Times New Roman" w:hAnsi="Times New Roman"/>
          <w:bCs/>
          <w:sz w:val="24"/>
          <w:szCs w:val="24"/>
          <w:bdr w:val="none" w:sz="0" w:space="0" w:color="auto" w:frame="1"/>
          <w:lang w:eastAsia="bg-BG"/>
        </w:rPr>
        <w:t xml:space="preserve"> </w:t>
      </w:r>
    </w:p>
    <w:p w14:paraId="46E5A2D6" w14:textId="7A61E34A" w:rsidR="0075676A" w:rsidRDefault="0075676A" w:rsidP="00F23B83">
      <w:pPr>
        <w:spacing w:after="0" w:line="240" w:lineRule="auto"/>
        <w:ind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974"/>
        <w:gridCol w:w="3886"/>
      </w:tblGrid>
      <w:tr w:rsidR="009F0754" w:rsidRPr="009F0754" w14:paraId="2693E4E2" w14:textId="39FA7C51" w:rsidTr="009F0754">
        <w:tc>
          <w:tcPr>
            <w:tcW w:w="4320" w:type="dxa"/>
          </w:tcPr>
          <w:p w14:paraId="3F0D5BF7" w14:textId="23CB238D" w:rsidR="009F0754" w:rsidRPr="009F0754" w:rsidRDefault="009F0754" w:rsidP="009F0754">
            <w:pPr>
              <w:spacing w:after="0" w:line="240" w:lineRule="auto"/>
              <w:ind w:left="-104"/>
              <w:jc w:val="both"/>
              <w:rPr>
                <w:rFonts w:ascii="Times New Roman" w:eastAsia="Times New Roman" w:hAnsi="Times New Roman"/>
                <w:bCs/>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Показател за изпълнение</w:t>
            </w:r>
            <w:r w:rsidRPr="009F0754">
              <w:rPr>
                <w:rFonts w:ascii="Times New Roman" w:eastAsia="Times New Roman" w:hAnsi="Times New Roman"/>
                <w:bCs/>
                <w:sz w:val="20"/>
                <w:szCs w:val="20"/>
                <w:bdr w:val="none" w:sz="0" w:space="0" w:color="auto" w:frame="1"/>
                <w:lang w:eastAsia="bg-BG"/>
              </w:rPr>
              <w:t xml:space="preserve"> </w:t>
            </w:r>
            <w:r w:rsidRPr="009F0754">
              <w:rPr>
                <w:rFonts w:ascii="Times New Roman" w:eastAsia="Times New Roman" w:hAnsi="Times New Roman"/>
                <w:bCs/>
                <w:i/>
                <w:sz w:val="20"/>
                <w:szCs w:val="20"/>
                <w:bdr w:val="none" w:sz="0" w:space="0" w:color="auto" w:frame="1"/>
                <w:lang w:eastAsia="bg-BG"/>
              </w:rPr>
              <w:t xml:space="preserve">определен в Приложение </w:t>
            </w:r>
            <w:r w:rsidRPr="009F0754">
              <w:rPr>
                <w:rFonts w:ascii="Times New Roman" w:eastAsia="Times New Roman" w:hAnsi="Times New Roman"/>
                <w:bCs/>
                <w:i/>
                <w:sz w:val="20"/>
                <w:szCs w:val="20"/>
                <w:bdr w:val="none" w:sz="0" w:space="0" w:color="auto" w:frame="1"/>
                <w:lang w:val="en-US" w:eastAsia="bg-BG"/>
              </w:rPr>
              <w:t xml:space="preserve">XIV – </w:t>
            </w:r>
            <w:r w:rsidRPr="009F0754">
              <w:rPr>
                <w:rFonts w:ascii="Times New Roman" w:eastAsia="Times New Roman" w:hAnsi="Times New Roman"/>
                <w:bCs/>
                <w:i/>
                <w:sz w:val="20"/>
                <w:szCs w:val="20"/>
                <w:bdr w:val="none" w:sz="0" w:space="0" w:color="auto" w:frame="1"/>
                <w:lang w:eastAsia="bg-BG"/>
              </w:rPr>
              <w:t>„План за действие“ към НППКАВ</w:t>
            </w:r>
            <w:r w:rsidRPr="009F0754">
              <w:rPr>
                <w:rFonts w:ascii="Times New Roman" w:eastAsia="Times New Roman" w:hAnsi="Times New Roman"/>
                <w:bCs/>
                <w:i/>
                <w:sz w:val="20"/>
                <w:szCs w:val="20"/>
                <w:bdr w:val="none" w:sz="0" w:space="0" w:color="auto" w:frame="1"/>
                <w:lang w:val="en-US" w:eastAsia="bg-BG"/>
              </w:rPr>
              <w:t>:</w:t>
            </w:r>
          </w:p>
        </w:tc>
        <w:tc>
          <w:tcPr>
            <w:tcW w:w="974" w:type="dxa"/>
          </w:tcPr>
          <w:p w14:paraId="7E8DF243" w14:textId="3EAC4D84" w:rsidR="009F0754" w:rsidRPr="009F0754" w:rsidRDefault="009F0754" w:rsidP="009F0754">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Целева стойност</w:t>
            </w:r>
          </w:p>
        </w:tc>
        <w:tc>
          <w:tcPr>
            <w:tcW w:w="3886" w:type="dxa"/>
          </w:tcPr>
          <w:p w14:paraId="216316B2" w14:textId="73E0D2D1" w:rsidR="009F0754" w:rsidRPr="009F0754" w:rsidRDefault="009F0754" w:rsidP="009F0754">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Към 2023г.</w:t>
            </w:r>
          </w:p>
        </w:tc>
      </w:tr>
      <w:tr w:rsidR="009F0754" w:rsidRPr="0092702E" w14:paraId="22ABAD8A" w14:textId="716A6328" w:rsidTr="009F0754">
        <w:tc>
          <w:tcPr>
            <w:tcW w:w="4320" w:type="dxa"/>
          </w:tcPr>
          <w:p w14:paraId="12C0855A" w14:textId="3D328CF7" w:rsidR="009F0754" w:rsidRPr="009F0754" w:rsidRDefault="009F0754"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9F0754">
              <w:rPr>
                <w:rFonts w:ascii="Times New Roman" w:eastAsia="Times New Roman" w:hAnsi="Times New Roman"/>
                <w:bCs/>
                <w:sz w:val="20"/>
                <w:szCs w:val="20"/>
                <w:bdr w:val="none" w:sz="0" w:space="0" w:color="auto" w:frame="1"/>
                <w:lang w:eastAsia="bg-BG"/>
              </w:rPr>
              <w:t xml:space="preserve">Брой изведени от употреба печки и котли, които не отговарят на изискванията и/или брой повторни или първоначални свързвания с </w:t>
            </w:r>
            <w:proofErr w:type="spellStart"/>
            <w:r w:rsidRPr="009F0754">
              <w:rPr>
                <w:rFonts w:ascii="Times New Roman" w:eastAsia="Times New Roman" w:hAnsi="Times New Roman"/>
                <w:bCs/>
                <w:sz w:val="20"/>
                <w:szCs w:val="20"/>
                <w:bdr w:val="none" w:sz="0" w:space="0" w:color="auto" w:frame="1"/>
                <w:lang w:eastAsia="bg-BG"/>
              </w:rPr>
              <w:t>газоразпределителната</w:t>
            </w:r>
            <w:proofErr w:type="spellEnd"/>
            <w:r w:rsidRPr="009F0754">
              <w:rPr>
                <w:rFonts w:ascii="Times New Roman" w:eastAsia="Times New Roman" w:hAnsi="Times New Roman"/>
                <w:bCs/>
                <w:sz w:val="20"/>
                <w:szCs w:val="20"/>
                <w:bdr w:val="none" w:sz="0" w:space="0" w:color="auto" w:frame="1"/>
                <w:lang w:eastAsia="bg-BG"/>
              </w:rPr>
              <w:t xml:space="preserve"> или топлофикационна мрежа</w:t>
            </w:r>
          </w:p>
        </w:tc>
        <w:tc>
          <w:tcPr>
            <w:tcW w:w="974" w:type="dxa"/>
          </w:tcPr>
          <w:p w14:paraId="6BEDF3B7" w14:textId="7E7D7AD9" w:rsidR="009F0754" w:rsidRPr="009F0754" w:rsidRDefault="009F0754" w:rsidP="005D5FE0">
            <w:pPr>
              <w:pStyle w:val="ListParagraph"/>
              <w:spacing w:after="0" w:line="240" w:lineRule="auto"/>
              <w:ind w:left="-108"/>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403 626 бр.</w:t>
            </w:r>
          </w:p>
        </w:tc>
        <w:tc>
          <w:tcPr>
            <w:tcW w:w="3886" w:type="dxa"/>
          </w:tcPr>
          <w:p w14:paraId="3722C1E4" w14:textId="4D472B48" w:rsidR="005D5FE0" w:rsidRPr="005D5FE0" w:rsidRDefault="005D5FE0" w:rsidP="005E5C41">
            <w:pPr>
              <w:pStyle w:val="ListParagraph"/>
              <w:spacing w:after="0" w:line="240" w:lineRule="auto"/>
              <w:ind w:left="-108"/>
              <w:jc w:val="center"/>
              <w:rPr>
                <w:rFonts w:ascii="Times New Roman" w:eastAsia="Times New Roman" w:hAnsi="Times New Roman"/>
                <w:bCs/>
                <w:sz w:val="20"/>
                <w:szCs w:val="20"/>
                <w:bdr w:val="none" w:sz="0" w:space="0" w:color="auto" w:frame="1"/>
                <w:lang w:val="en-US" w:eastAsia="bg-BG"/>
              </w:rPr>
            </w:pPr>
            <w:r>
              <w:rPr>
                <w:rFonts w:ascii="Times New Roman" w:eastAsia="Times New Roman" w:hAnsi="Times New Roman"/>
                <w:bCs/>
                <w:sz w:val="20"/>
                <w:szCs w:val="20"/>
                <w:bdr w:val="none" w:sz="0" w:space="0" w:color="auto" w:frame="1"/>
                <w:lang w:val="en-US" w:eastAsia="bg-BG"/>
              </w:rPr>
              <w:t>33 390</w:t>
            </w:r>
            <w:r w:rsidR="00025ABB">
              <w:rPr>
                <w:rFonts w:ascii="Times New Roman" w:eastAsia="Times New Roman" w:hAnsi="Times New Roman"/>
                <w:bCs/>
                <w:sz w:val="20"/>
                <w:szCs w:val="20"/>
                <w:bdr w:val="none" w:sz="0" w:space="0" w:color="auto" w:frame="1"/>
                <w:lang w:val="en-US" w:eastAsia="bg-BG"/>
              </w:rPr>
              <w:t xml:space="preserve"> </w:t>
            </w:r>
            <w:r w:rsidR="00025ABB">
              <w:rPr>
                <w:rFonts w:ascii="Times New Roman" w:eastAsia="Times New Roman" w:hAnsi="Times New Roman"/>
                <w:bCs/>
                <w:sz w:val="20"/>
                <w:szCs w:val="20"/>
                <w:bdr w:val="none" w:sz="0" w:space="0" w:color="auto" w:frame="1"/>
                <w:lang w:eastAsia="bg-BG"/>
              </w:rPr>
              <w:t>бр.</w:t>
            </w:r>
            <w:r>
              <w:rPr>
                <w:rFonts w:ascii="Times New Roman" w:eastAsia="Times New Roman" w:hAnsi="Times New Roman"/>
                <w:bCs/>
                <w:sz w:val="20"/>
                <w:szCs w:val="20"/>
                <w:bdr w:val="none" w:sz="0" w:space="0" w:color="auto" w:frame="1"/>
                <w:lang w:val="en-US" w:eastAsia="bg-BG"/>
              </w:rPr>
              <w:t xml:space="preserve"> </w:t>
            </w:r>
          </w:p>
        </w:tc>
      </w:tr>
    </w:tbl>
    <w:p w14:paraId="18598732" w14:textId="72819C13" w:rsidR="009F0754" w:rsidRDefault="009F0754" w:rsidP="00F23B83">
      <w:pPr>
        <w:spacing w:after="0" w:line="240" w:lineRule="auto"/>
        <w:ind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990"/>
        <w:gridCol w:w="3960"/>
      </w:tblGrid>
      <w:tr w:rsidR="00C567A3" w:rsidRPr="00B01742" w14:paraId="678B89B3" w14:textId="77777777" w:rsidTr="00C567A3">
        <w:trPr>
          <w:trHeight w:val="583"/>
        </w:trPr>
        <w:tc>
          <w:tcPr>
            <w:tcW w:w="4230" w:type="dxa"/>
          </w:tcPr>
          <w:p w14:paraId="4D5FF699" w14:textId="77777777" w:rsidR="00C567A3" w:rsidRPr="00B01742" w:rsidRDefault="00C567A3" w:rsidP="00834D89">
            <w:pPr>
              <w:spacing w:after="0" w:line="240" w:lineRule="auto"/>
              <w:ind w:left="-104"/>
              <w:jc w:val="both"/>
              <w:rPr>
                <w:rFonts w:ascii="Times New Roman" w:eastAsia="Times New Roman" w:hAnsi="Times New Roman"/>
                <w:bCs/>
                <w:sz w:val="20"/>
                <w:szCs w:val="20"/>
                <w:bdr w:val="none" w:sz="0" w:space="0" w:color="auto" w:frame="1"/>
                <w:lang w:eastAsia="bg-BG"/>
              </w:rPr>
            </w:pPr>
            <w:r w:rsidRPr="00B01742">
              <w:rPr>
                <w:rFonts w:ascii="Times New Roman" w:eastAsia="Times New Roman" w:hAnsi="Times New Roman"/>
                <w:bCs/>
                <w:i/>
                <w:sz w:val="20"/>
                <w:szCs w:val="20"/>
                <w:bdr w:val="none" w:sz="0" w:space="0" w:color="auto" w:frame="1"/>
                <w:lang w:eastAsia="bg-BG"/>
              </w:rPr>
              <w:t>Показател за резултат</w:t>
            </w:r>
            <w:r w:rsidRPr="00B01742">
              <w:rPr>
                <w:rFonts w:ascii="Times New Roman" w:eastAsia="Times New Roman" w:hAnsi="Times New Roman"/>
                <w:bCs/>
                <w:sz w:val="20"/>
                <w:szCs w:val="20"/>
                <w:bdr w:val="none" w:sz="0" w:space="0" w:color="auto" w:frame="1"/>
                <w:lang w:eastAsia="bg-BG"/>
              </w:rPr>
              <w:t xml:space="preserve"> </w:t>
            </w:r>
            <w:r w:rsidRPr="00B01742">
              <w:rPr>
                <w:rFonts w:ascii="Times New Roman" w:eastAsia="Times New Roman" w:hAnsi="Times New Roman"/>
                <w:bCs/>
                <w:i/>
                <w:sz w:val="20"/>
                <w:szCs w:val="20"/>
                <w:bdr w:val="none" w:sz="0" w:space="0" w:color="auto" w:frame="1"/>
                <w:lang w:eastAsia="bg-BG"/>
              </w:rPr>
              <w:t xml:space="preserve">определен в Приложение </w:t>
            </w:r>
            <w:r w:rsidRPr="00B01742">
              <w:rPr>
                <w:rFonts w:ascii="Times New Roman" w:eastAsia="Times New Roman" w:hAnsi="Times New Roman"/>
                <w:bCs/>
                <w:i/>
                <w:sz w:val="20"/>
                <w:szCs w:val="20"/>
                <w:bdr w:val="none" w:sz="0" w:space="0" w:color="auto" w:frame="1"/>
                <w:lang w:val="en-US" w:eastAsia="bg-BG"/>
              </w:rPr>
              <w:t xml:space="preserve">XIV – </w:t>
            </w:r>
            <w:r w:rsidRPr="00B01742">
              <w:rPr>
                <w:rFonts w:ascii="Times New Roman" w:eastAsia="Times New Roman" w:hAnsi="Times New Roman"/>
                <w:bCs/>
                <w:i/>
                <w:sz w:val="20"/>
                <w:szCs w:val="20"/>
                <w:bdr w:val="none" w:sz="0" w:space="0" w:color="auto" w:frame="1"/>
                <w:lang w:eastAsia="bg-BG"/>
              </w:rPr>
              <w:t>„План за действие“ към НППКАВ</w:t>
            </w:r>
            <w:r w:rsidRPr="00B01742">
              <w:rPr>
                <w:rFonts w:ascii="Times New Roman" w:eastAsia="Times New Roman" w:hAnsi="Times New Roman"/>
                <w:bCs/>
                <w:i/>
                <w:sz w:val="20"/>
                <w:szCs w:val="20"/>
                <w:bdr w:val="none" w:sz="0" w:space="0" w:color="auto" w:frame="1"/>
                <w:lang w:val="en-US" w:eastAsia="bg-BG"/>
              </w:rPr>
              <w:t>:</w:t>
            </w:r>
          </w:p>
        </w:tc>
        <w:tc>
          <w:tcPr>
            <w:tcW w:w="990" w:type="dxa"/>
          </w:tcPr>
          <w:p w14:paraId="181F4BE9" w14:textId="639612B8" w:rsidR="00C567A3" w:rsidRDefault="00C567A3" w:rsidP="00B01742">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C567A3">
              <w:rPr>
                <w:rFonts w:ascii="Times New Roman" w:eastAsia="Times New Roman" w:hAnsi="Times New Roman"/>
                <w:bCs/>
                <w:i/>
                <w:sz w:val="20"/>
                <w:szCs w:val="20"/>
                <w:bdr w:val="none" w:sz="0" w:space="0" w:color="auto" w:frame="1"/>
                <w:lang w:eastAsia="bg-BG"/>
              </w:rPr>
              <w:t>Целева стойност</w:t>
            </w:r>
          </w:p>
        </w:tc>
        <w:tc>
          <w:tcPr>
            <w:tcW w:w="3960" w:type="dxa"/>
          </w:tcPr>
          <w:p w14:paraId="758417A2" w14:textId="68657AA7" w:rsidR="00C567A3" w:rsidRPr="00B01742" w:rsidRDefault="00C567A3" w:rsidP="00B01742">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Към</w:t>
            </w:r>
            <w:r w:rsidRPr="00B01742">
              <w:rPr>
                <w:rFonts w:ascii="Times New Roman" w:eastAsia="Times New Roman" w:hAnsi="Times New Roman"/>
                <w:bCs/>
                <w:i/>
                <w:sz w:val="20"/>
                <w:szCs w:val="20"/>
                <w:bdr w:val="none" w:sz="0" w:space="0" w:color="auto" w:frame="1"/>
                <w:lang w:eastAsia="bg-BG"/>
              </w:rPr>
              <w:t xml:space="preserve"> 2023г.</w:t>
            </w:r>
          </w:p>
        </w:tc>
      </w:tr>
      <w:tr w:rsidR="00C567A3" w:rsidRPr="0092702E" w14:paraId="0CB4335B" w14:textId="77777777" w:rsidTr="00C567A3">
        <w:tc>
          <w:tcPr>
            <w:tcW w:w="4230" w:type="dxa"/>
          </w:tcPr>
          <w:p w14:paraId="6F2E8EF0" w14:textId="77777777" w:rsidR="00C567A3" w:rsidRPr="00B01742" w:rsidRDefault="00C567A3"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B01742">
              <w:rPr>
                <w:rFonts w:ascii="Times New Roman" w:eastAsia="Times New Roman" w:hAnsi="Times New Roman"/>
                <w:bCs/>
                <w:sz w:val="20"/>
                <w:szCs w:val="20"/>
                <w:bdr w:val="none" w:sz="0" w:space="0" w:color="auto" w:frame="1"/>
                <w:lang w:eastAsia="bg-BG"/>
              </w:rPr>
              <w:t>Намалени емисии на ФПЧ от битово отопление</w:t>
            </w:r>
          </w:p>
        </w:tc>
        <w:tc>
          <w:tcPr>
            <w:tcW w:w="990" w:type="dxa"/>
          </w:tcPr>
          <w:p w14:paraId="0ED967E2" w14:textId="77777777" w:rsidR="00C567A3" w:rsidRPr="00061E7C" w:rsidRDefault="00C567A3" w:rsidP="00C567A3">
            <w:pPr>
              <w:pStyle w:val="ListParagraph"/>
              <w:numPr>
                <w:ilvl w:val="0"/>
                <w:numId w:val="2"/>
              </w:numPr>
              <w:spacing w:after="0" w:line="240" w:lineRule="auto"/>
              <w:ind w:left="-108" w:firstLine="0"/>
              <w:jc w:val="center"/>
              <w:rPr>
                <w:rFonts w:ascii="Times New Roman" w:eastAsia="Times New Roman" w:hAnsi="Times New Roman"/>
                <w:bCs/>
                <w:sz w:val="20"/>
                <w:szCs w:val="20"/>
                <w:bdr w:val="none" w:sz="0" w:space="0" w:color="auto" w:frame="1"/>
                <w:lang w:eastAsia="bg-BG"/>
              </w:rPr>
            </w:pPr>
          </w:p>
        </w:tc>
        <w:tc>
          <w:tcPr>
            <w:tcW w:w="3960" w:type="dxa"/>
          </w:tcPr>
          <w:p w14:paraId="58B757E8" w14:textId="03AFEB10" w:rsidR="00C567A3" w:rsidRPr="00B01742" w:rsidRDefault="00C567A3" w:rsidP="00061E7C">
            <w:pPr>
              <w:pStyle w:val="ListParagraph"/>
              <w:numPr>
                <w:ilvl w:val="0"/>
                <w:numId w:val="2"/>
              </w:numPr>
              <w:spacing w:after="0" w:line="240" w:lineRule="auto"/>
              <w:ind w:left="-108" w:firstLine="0"/>
              <w:jc w:val="both"/>
              <w:rPr>
                <w:rFonts w:ascii="Times New Roman" w:eastAsia="Times New Roman" w:hAnsi="Times New Roman"/>
                <w:bCs/>
                <w:sz w:val="20"/>
                <w:szCs w:val="20"/>
                <w:bdr w:val="none" w:sz="0" w:space="0" w:color="auto" w:frame="1"/>
                <w:lang w:eastAsia="bg-BG"/>
              </w:rPr>
            </w:pPr>
            <w:r w:rsidRPr="00061E7C">
              <w:rPr>
                <w:rFonts w:ascii="Times New Roman" w:eastAsia="Times New Roman" w:hAnsi="Times New Roman"/>
                <w:bCs/>
                <w:sz w:val="20"/>
                <w:szCs w:val="20"/>
                <w:bdr w:val="none" w:sz="0" w:space="0" w:color="auto" w:frame="1"/>
                <w:lang w:eastAsia="bg-BG"/>
              </w:rPr>
              <w:t>707,73 т/г.</w:t>
            </w:r>
            <w:r>
              <w:rPr>
                <w:rFonts w:ascii="Times New Roman" w:eastAsia="Times New Roman" w:hAnsi="Times New Roman"/>
                <w:bCs/>
                <w:sz w:val="20"/>
                <w:szCs w:val="20"/>
                <w:bdr w:val="none" w:sz="0" w:space="0" w:color="auto" w:frame="1"/>
                <w:lang w:eastAsia="bg-BG"/>
              </w:rPr>
              <w:t xml:space="preserve"> верифицирани </w:t>
            </w:r>
            <w:r w:rsidRPr="00061E7C">
              <w:rPr>
                <w:rFonts w:ascii="Times New Roman" w:eastAsia="Times New Roman" w:hAnsi="Times New Roman"/>
                <w:bCs/>
                <w:sz w:val="20"/>
                <w:szCs w:val="20"/>
                <w:bdr w:val="none" w:sz="0" w:space="0" w:color="auto" w:frame="1"/>
                <w:lang w:eastAsia="bg-BG"/>
              </w:rPr>
              <w:t>спестени емисии ФПЧ</w:t>
            </w:r>
            <w:r>
              <w:rPr>
                <w:rFonts w:ascii="Times New Roman" w:eastAsia="Times New Roman" w:hAnsi="Times New Roman"/>
                <w:bCs/>
                <w:sz w:val="20"/>
                <w:szCs w:val="20"/>
                <w:bdr w:val="none" w:sz="0" w:space="0" w:color="auto" w:frame="1"/>
                <w:vertAlign w:val="subscript"/>
                <w:lang w:eastAsia="bg-BG"/>
              </w:rPr>
              <w:t>10</w:t>
            </w:r>
          </w:p>
        </w:tc>
      </w:tr>
    </w:tbl>
    <w:p w14:paraId="07AA4EB4" w14:textId="77777777" w:rsidR="009F0754" w:rsidRDefault="009F0754" w:rsidP="00F23B83">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4FF9748D" w14:textId="4C4A46BE" w:rsidR="0026742A" w:rsidRPr="0026742A" w:rsidRDefault="00E82558" w:rsidP="00F23B83">
      <w:pPr>
        <w:spacing w:after="0" w:line="240" w:lineRule="auto"/>
        <w:ind w:firstLine="1134"/>
        <w:jc w:val="both"/>
        <w:rPr>
          <w:rFonts w:ascii="Times New Roman" w:eastAsia="Times New Roman" w:hAnsi="Times New Roman"/>
          <w:bCs/>
          <w:i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Мярката за з</w:t>
      </w:r>
      <w:r w:rsidRPr="00E82558">
        <w:rPr>
          <w:rFonts w:ascii="Times New Roman" w:eastAsia="Times New Roman" w:hAnsi="Times New Roman"/>
          <w:bCs/>
          <w:sz w:val="24"/>
          <w:szCs w:val="24"/>
          <w:bdr w:val="none" w:sz="0" w:space="0" w:color="auto" w:frame="1"/>
          <w:lang w:eastAsia="bg-BG"/>
        </w:rPr>
        <w:t>адължително</w:t>
      </w:r>
      <w:r>
        <w:rPr>
          <w:rFonts w:ascii="Times New Roman" w:eastAsia="Times New Roman" w:hAnsi="Times New Roman"/>
          <w:bCs/>
          <w:sz w:val="24"/>
          <w:szCs w:val="24"/>
          <w:bdr w:val="none" w:sz="0" w:space="0" w:color="auto" w:frame="1"/>
          <w:lang w:eastAsia="bg-BG"/>
        </w:rPr>
        <w:t>то</w:t>
      </w:r>
      <w:r w:rsidRPr="00E82558">
        <w:rPr>
          <w:rFonts w:ascii="Times New Roman" w:eastAsia="Times New Roman" w:hAnsi="Times New Roman"/>
          <w:bCs/>
          <w:sz w:val="24"/>
          <w:szCs w:val="24"/>
          <w:bdr w:val="none" w:sz="0" w:space="0" w:color="auto" w:frame="1"/>
          <w:lang w:eastAsia="bg-BG"/>
        </w:rPr>
        <w:t xml:space="preserve"> поетапно извеждане от употреба на печки и котли на твърдо гориво, които не отговарят на изискванията на регламентите за </w:t>
      </w:r>
      <w:proofErr w:type="spellStart"/>
      <w:r w:rsidRPr="00E82558">
        <w:rPr>
          <w:rFonts w:ascii="Times New Roman" w:eastAsia="Times New Roman" w:hAnsi="Times New Roman"/>
          <w:bCs/>
          <w:sz w:val="24"/>
          <w:szCs w:val="24"/>
          <w:bdr w:val="none" w:sz="0" w:space="0" w:color="auto" w:frame="1"/>
          <w:lang w:eastAsia="bg-BG"/>
        </w:rPr>
        <w:t>екодизайн</w:t>
      </w:r>
      <w:proofErr w:type="spellEnd"/>
      <w:r w:rsidRPr="00E82558">
        <w:rPr>
          <w:rFonts w:ascii="Times New Roman" w:eastAsia="Times New Roman" w:hAnsi="Times New Roman"/>
          <w:bCs/>
          <w:sz w:val="24"/>
          <w:szCs w:val="24"/>
          <w:bdr w:val="none" w:sz="0" w:space="0" w:color="auto" w:frame="1"/>
          <w:lang w:eastAsia="bg-BG"/>
        </w:rPr>
        <w:t xml:space="preserve"> </w:t>
      </w:r>
      <w:r>
        <w:rPr>
          <w:rFonts w:ascii="Times New Roman" w:eastAsia="Times New Roman" w:hAnsi="Times New Roman"/>
          <w:bCs/>
          <w:sz w:val="24"/>
          <w:szCs w:val="24"/>
          <w:bdr w:val="none" w:sz="0" w:space="0" w:color="auto" w:frame="1"/>
          <w:lang w:eastAsia="bg-BG"/>
        </w:rPr>
        <w:t xml:space="preserve">предвижда възможността </w:t>
      </w:r>
      <w:r w:rsidR="001D49AB">
        <w:rPr>
          <w:rFonts w:ascii="Times New Roman" w:eastAsia="Times New Roman" w:hAnsi="Times New Roman"/>
          <w:bCs/>
          <w:sz w:val="24"/>
          <w:szCs w:val="24"/>
          <w:bdr w:val="none" w:sz="0" w:space="0" w:color="auto" w:frame="1"/>
          <w:lang w:eastAsia="bg-BG"/>
        </w:rPr>
        <w:t xml:space="preserve">за въвеждане на зони с ниски емисии, каквато възможност е дадена и в </w:t>
      </w:r>
      <w:r w:rsidR="00D433E2">
        <w:rPr>
          <w:rFonts w:ascii="Times New Roman" w:eastAsia="Times New Roman" w:hAnsi="Times New Roman"/>
          <w:bCs/>
          <w:sz w:val="24"/>
          <w:szCs w:val="24"/>
          <w:bdr w:val="none" w:sz="0" w:space="0" w:color="auto" w:frame="1"/>
          <w:lang w:eastAsia="bg-BG"/>
        </w:rPr>
        <w:t xml:space="preserve">националното </w:t>
      </w:r>
      <w:r w:rsidR="001D49AB">
        <w:rPr>
          <w:rFonts w:ascii="Times New Roman" w:eastAsia="Times New Roman" w:hAnsi="Times New Roman"/>
          <w:bCs/>
          <w:sz w:val="24"/>
          <w:szCs w:val="24"/>
          <w:bdr w:val="none" w:sz="0" w:space="0" w:color="auto" w:frame="1"/>
          <w:lang w:eastAsia="bg-BG"/>
        </w:rPr>
        <w:t xml:space="preserve">законодателство. Законът за чистотата на атмосферния въздух </w:t>
      </w:r>
      <w:r w:rsidR="00923B90">
        <w:rPr>
          <w:rFonts w:ascii="Times New Roman" w:eastAsia="Times New Roman" w:hAnsi="Times New Roman"/>
          <w:bCs/>
          <w:sz w:val="24"/>
          <w:szCs w:val="24"/>
          <w:bdr w:val="none" w:sz="0" w:space="0" w:color="auto" w:frame="1"/>
          <w:lang w:eastAsia="bg-BG"/>
        </w:rPr>
        <w:t>дава възможност на</w:t>
      </w:r>
      <w:r w:rsidR="002F251B">
        <w:rPr>
          <w:rFonts w:ascii="Times New Roman" w:eastAsia="Times New Roman" w:hAnsi="Times New Roman"/>
          <w:bCs/>
          <w:sz w:val="24"/>
          <w:szCs w:val="24"/>
          <w:bdr w:val="none" w:sz="0" w:space="0" w:color="auto" w:frame="1"/>
          <w:lang w:eastAsia="bg-BG"/>
        </w:rPr>
        <w:t xml:space="preserve"> общинските власти за въвеждане на зони за ниски емисии при </w:t>
      </w:r>
      <w:r w:rsidR="002F251B">
        <w:rPr>
          <w:rFonts w:ascii="Times New Roman" w:eastAsia="Times New Roman" w:hAnsi="Times New Roman"/>
          <w:bCs/>
          <w:sz w:val="24"/>
          <w:szCs w:val="24"/>
          <w:bdr w:val="none" w:sz="0" w:space="0" w:color="auto" w:frame="1"/>
          <w:lang w:eastAsia="bg-BG"/>
        </w:rPr>
        <w:lastRenderedPageBreak/>
        <w:t xml:space="preserve">нарушено качество на въздуха по даден </w:t>
      </w:r>
      <w:r w:rsidR="00F23B83">
        <w:rPr>
          <w:rFonts w:ascii="Times New Roman" w:eastAsia="Times New Roman" w:hAnsi="Times New Roman"/>
          <w:bCs/>
          <w:sz w:val="24"/>
          <w:szCs w:val="24"/>
          <w:bdr w:val="none" w:sz="0" w:space="0" w:color="auto" w:frame="1"/>
          <w:lang w:eastAsia="bg-BG"/>
        </w:rPr>
        <w:t xml:space="preserve">замърсител </w:t>
      </w:r>
      <w:r w:rsidR="002F251B">
        <w:rPr>
          <w:rFonts w:ascii="Times New Roman" w:eastAsia="Times New Roman" w:hAnsi="Times New Roman"/>
          <w:bCs/>
          <w:sz w:val="24"/>
          <w:szCs w:val="24"/>
          <w:bdr w:val="none" w:sz="0" w:space="0" w:color="auto" w:frame="1"/>
          <w:lang w:eastAsia="bg-BG"/>
        </w:rPr>
        <w:t xml:space="preserve">– тези зони </w:t>
      </w:r>
      <w:r w:rsidR="00655FCE">
        <w:rPr>
          <w:rFonts w:ascii="Times New Roman" w:eastAsia="Times New Roman" w:hAnsi="Times New Roman"/>
          <w:bCs/>
          <w:sz w:val="24"/>
          <w:szCs w:val="24"/>
          <w:bdr w:val="none" w:sz="0" w:space="0" w:color="auto" w:frame="1"/>
          <w:lang w:eastAsia="bg-BG"/>
        </w:rPr>
        <w:t>са</w:t>
      </w:r>
      <w:r w:rsidR="002F251B">
        <w:rPr>
          <w:rFonts w:ascii="Times New Roman" w:eastAsia="Times New Roman" w:hAnsi="Times New Roman"/>
          <w:bCs/>
          <w:sz w:val="24"/>
          <w:szCs w:val="24"/>
          <w:bdr w:val="none" w:sz="0" w:space="0" w:color="auto" w:frame="1"/>
          <w:lang w:eastAsia="bg-BG"/>
        </w:rPr>
        <w:t xml:space="preserve"> един от начини</w:t>
      </w:r>
      <w:r w:rsidR="001D49AB">
        <w:rPr>
          <w:rFonts w:ascii="Times New Roman" w:eastAsia="Times New Roman" w:hAnsi="Times New Roman"/>
          <w:bCs/>
          <w:sz w:val="24"/>
          <w:szCs w:val="24"/>
          <w:bdr w:val="none" w:sz="0" w:space="0" w:color="auto" w:frame="1"/>
          <w:lang w:eastAsia="bg-BG"/>
        </w:rPr>
        <w:t>те</w:t>
      </w:r>
      <w:r w:rsidR="002F251B">
        <w:rPr>
          <w:rFonts w:ascii="Times New Roman" w:eastAsia="Times New Roman" w:hAnsi="Times New Roman"/>
          <w:bCs/>
          <w:sz w:val="24"/>
          <w:szCs w:val="24"/>
          <w:bdr w:val="none" w:sz="0" w:space="0" w:color="auto" w:frame="1"/>
          <w:lang w:eastAsia="bg-BG"/>
        </w:rPr>
        <w:t xml:space="preserve"> за постигане на нормите. </w:t>
      </w:r>
      <w:r w:rsidR="00250946">
        <w:rPr>
          <w:rFonts w:ascii="Times New Roman" w:eastAsia="Times New Roman" w:hAnsi="Times New Roman"/>
          <w:bCs/>
          <w:sz w:val="24"/>
          <w:szCs w:val="24"/>
          <w:bdr w:val="none" w:sz="0" w:space="0" w:color="auto" w:frame="1"/>
          <w:lang w:eastAsia="bg-BG"/>
        </w:rPr>
        <w:t>Във връзка с това</w:t>
      </w:r>
      <w:r w:rsidR="00F23B83">
        <w:rPr>
          <w:rFonts w:ascii="Times New Roman" w:eastAsia="Times New Roman" w:hAnsi="Times New Roman"/>
          <w:bCs/>
          <w:sz w:val="24"/>
          <w:szCs w:val="24"/>
          <w:bdr w:val="none" w:sz="0" w:space="0" w:color="auto" w:frame="1"/>
          <w:lang w:eastAsia="bg-BG"/>
        </w:rPr>
        <w:t>, съгласно информация на Столична община, с</w:t>
      </w:r>
      <w:r w:rsidR="0026742A" w:rsidRPr="0026742A">
        <w:rPr>
          <w:rFonts w:ascii="Times New Roman" w:eastAsia="Times New Roman" w:hAnsi="Times New Roman"/>
          <w:bCs/>
          <w:iCs/>
          <w:sz w:val="24"/>
          <w:szCs w:val="24"/>
          <w:bdr w:val="none" w:sz="0" w:space="0" w:color="auto" w:frame="1"/>
          <w:lang w:eastAsia="bg-BG"/>
        </w:rPr>
        <w:t xml:space="preserve"> Решение № 931 от 15.12.2022г. на Столичен общински съвет е приета „Наредба за създаване на зони с ниски емисии на вредни вещества в атмосферния въздух на територията на Столична община“. Наредбата урежда правилата и условията за създаване на зони с ниски емисии на вредни вещества на територията на Столична община и въвеждане на ограничения и забрани за движението на моторни превозни средства (МПС)</w:t>
      </w:r>
      <w:r w:rsidR="00F23B83">
        <w:rPr>
          <w:rFonts w:ascii="Times New Roman" w:eastAsia="Times New Roman" w:hAnsi="Times New Roman"/>
          <w:bCs/>
          <w:iCs/>
          <w:sz w:val="24"/>
          <w:szCs w:val="24"/>
          <w:bdr w:val="none" w:sz="0" w:space="0" w:color="auto" w:frame="1"/>
          <w:lang w:eastAsia="bg-BG"/>
        </w:rPr>
        <w:t xml:space="preserve">, както </w:t>
      </w:r>
      <w:r w:rsidR="0026742A" w:rsidRPr="0026742A">
        <w:rPr>
          <w:rFonts w:ascii="Times New Roman" w:eastAsia="Times New Roman" w:hAnsi="Times New Roman"/>
          <w:bCs/>
          <w:iCs/>
          <w:sz w:val="24"/>
          <w:szCs w:val="24"/>
          <w:bdr w:val="none" w:sz="0" w:space="0" w:color="auto" w:frame="1"/>
          <w:lang w:eastAsia="bg-BG"/>
        </w:rPr>
        <w:t>и за въвеждане на ограничения и забрани за употребата на твърди горива за битово отопление на цялата територия на Столична община или на части от нея, с цел намаляване на източниците на замърсяване на атмосферния въздух.</w:t>
      </w:r>
      <w:r w:rsidR="00F23B83">
        <w:rPr>
          <w:rFonts w:ascii="Times New Roman" w:eastAsia="Times New Roman" w:hAnsi="Times New Roman"/>
          <w:bCs/>
          <w:iCs/>
          <w:sz w:val="24"/>
          <w:szCs w:val="24"/>
          <w:bdr w:val="none" w:sz="0" w:space="0" w:color="auto" w:frame="1"/>
          <w:lang w:eastAsia="bg-BG"/>
        </w:rPr>
        <w:t xml:space="preserve"> По отношение на битовото отопление</w:t>
      </w:r>
      <w:r w:rsidR="0026742A" w:rsidRPr="0026742A">
        <w:rPr>
          <w:rFonts w:ascii="Times New Roman" w:eastAsia="Times New Roman" w:hAnsi="Times New Roman"/>
          <w:bCs/>
          <w:iCs/>
          <w:sz w:val="24"/>
          <w:szCs w:val="24"/>
          <w:bdr w:val="none" w:sz="0" w:space="0" w:color="auto" w:frame="1"/>
          <w:lang w:eastAsia="bg-BG"/>
        </w:rPr>
        <w:t xml:space="preserve"> се въвежда забрана за употребата на твърди горива на територията на Столична община, както следва:</w:t>
      </w:r>
    </w:p>
    <w:p w14:paraId="2FF92F9F" w14:textId="77777777" w:rsidR="0026742A" w:rsidRPr="0026742A" w:rsidRDefault="0026742A" w:rsidP="00F23B83">
      <w:pPr>
        <w:numPr>
          <w:ilvl w:val="0"/>
          <w:numId w:val="15"/>
        </w:numPr>
        <w:spacing w:after="0" w:line="240" w:lineRule="auto"/>
        <w:ind w:left="0" w:firstLine="1170"/>
        <w:jc w:val="both"/>
        <w:rPr>
          <w:rFonts w:ascii="Times New Roman" w:eastAsia="Times New Roman" w:hAnsi="Times New Roman"/>
          <w:bCs/>
          <w:iCs/>
          <w:sz w:val="24"/>
          <w:szCs w:val="24"/>
          <w:bdr w:val="none" w:sz="0" w:space="0" w:color="auto" w:frame="1"/>
          <w:lang w:eastAsia="bg-BG"/>
        </w:rPr>
      </w:pPr>
      <w:r w:rsidRPr="0026742A">
        <w:rPr>
          <w:rFonts w:ascii="Times New Roman" w:eastAsia="Times New Roman" w:hAnsi="Times New Roman"/>
          <w:bCs/>
          <w:iCs/>
          <w:sz w:val="24"/>
          <w:szCs w:val="24"/>
          <w:bdr w:val="none" w:sz="0" w:space="0" w:color="auto" w:frame="1"/>
          <w:lang w:eastAsia="bg-BG"/>
        </w:rPr>
        <w:t xml:space="preserve">Считано от 01.01.2025г., се забранява използването на твърди горива за битово </w:t>
      </w:r>
      <w:r w:rsidR="005B5495">
        <w:rPr>
          <w:rFonts w:ascii="Times New Roman" w:eastAsia="Times New Roman" w:hAnsi="Times New Roman"/>
          <w:bCs/>
          <w:iCs/>
          <w:sz w:val="24"/>
          <w:szCs w:val="24"/>
          <w:bdr w:val="none" w:sz="0" w:space="0" w:color="auto" w:frame="1"/>
          <w:lang w:eastAsia="bg-BG"/>
        </w:rPr>
        <w:t>отопление в сгради, разположени</w:t>
      </w:r>
      <w:r w:rsidRPr="0026742A">
        <w:rPr>
          <w:rFonts w:ascii="Times New Roman" w:eastAsia="Times New Roman" w:hAnsi="Times New Roman"/>
          <w:bCs/>
          <w:iCs/>
          <w:sz w:val="24"/>
          <w:szCs w:val="24"/>
          <w:bdr w:val="none" w:sz="0" w:space="0" w:color="auto" w:frame="1"/>
          <w:lang w:eastAsia="bg-BG"/>
        </w:rPr>
        <w:t xml:space="preserve"> по улици и на места, в които има изградена и функционираща централна топлофикационна и/или </w:t>
      </w:r>
      <w:proofErr w:type="spellStart"/>
      <w:r w:rsidRPr="0026742A">
        <w:rPr>
          <w:rFonts w:ascii="Times New Roman" w:eastAsia="Times New Roman" w:hAnsi="Times New Roman"/>
          <w:bCs/>
          <w:iCs/>
          <w:sz w:val="24"/>
          <w:szCs w:val="24"/>
          <w:bdr w:val="none" w:sz="0" w:space="0" w:color="auto" w:frame="1"/>
          <w:lang w:eastAsia="bg-BG"/>
        </w:rPr>
        <w:t>газоразп</w:t>
      </w:r>
      <w:r w:rsidR="00863AEF">
        <w:rPr>
          <w:rFonts w:ascii="Times New Roman" w:eastAsia="Times New Roman" w:hAnsi="Times New Roman"/>
          <w:bCs/>
          <w:iCs/>
          <w:sz w:val="24"/>
          <w:szCs w:val="24"/>
          <w:bdr w:val="none" w:sz="0" w:space="0" w:color="auto" w:frame="1"/>
          <w:lang w:eastAsia="bg-BG"/>
        </w:rPr>
        <w:t>ределителна</w:t>
      </w:r>
      <w:proofErr w:type="spellEnd"/>
      <w:r w:rsidR="00863AEF">
        <w:rPr>
          <w:rFonts w:ascii="Times New Roman" w:eastAsia="Times New Roman" w:hAnsi="Times New Roman"/>
          <w:bCs/>
          <w:iCs/>
          <w:sz w:val="24"/>
          <w:szCs w:val="24"/>
          <w:bdr w:val="none" w:sz="0" w:space="0" w:color="auto" w:frame="1"/>
          <w:lang w:eastAsia="bg-BG"/>
        </w:rPr>
        <w:t xml:space="preserve"> мрежа в следните </w:t>
      </w:r>
      <w:r w:rsidRPr="0026742A">
        <w:rPr>
          <w:rFonts w:ascii="Times New Roman" w:eastAsia="Times New Roman" w:hAnsi="Times New Roman"/>
          <w:bCs/>
          <w:iCs/>
          <w:sz w:val="24"/>
          <w:szCs w:val="24"/>
          <w:bdr w:val="none" w:sz="0" w:space="0" w:color="auto" w:frame="1"/>
          <w:lang w:eastAsia="bg-BG"/>
        </w:rPr>
        <w:t>девет района: Изгрев, Средец, Оборище, Студентски, Илинден, Красно село, Лозенец, Триадица и Възраждане;</w:t>
      </w:r>
    </w:p>
    <w:p w14:paraId="05A4BDE8" w14:textId="77777777" w:rsidR="0026742A" w:rsidRPr="0026742A" w:rsidRDefault="0026742A" w:rsidP="00F23B83">
      <w:pPr>
        <w:numPr>
          <w:ilvl w:val="0"/>
          <w:numId w:val="15"/>
        </w:numPr>
        <w:spacing w:after="0" w:line="240" w:lineRule="auto"/>
        <w:ind w:left="0" w:firstLine="1170"/>
        <w:jc w:val="both"/>
        <w:rPr>
          <w:rFonts w:ascii="Times New Roman" w:eastAsia="Times New Roman" w:hAnsi="Times New Roman"/>
          <w:bCs/>
          <w:iCs/>
          <w:sz w:val="24"/>
          <w:szCs w:val="24"/>
          <w:bdr w:val="none" w:sz="0" w:space="0" w:color="auto" w:frame="1"/>
          <w:lang w:eastAsia="bg-BG"/>
        </w:rPr>
      </w:pPr>
      <w:r w:rsidRPr="0026742A">
        <w:rPr>
          <w:rFonts w:ascii="Times New Roman" w:eastAsia="Times New Roman" w:hAnsi="Times New Roman"/>
          <w:bCs/>
          <w:iCs/>
          <w:sz w:val="24"/>
          <w:szCs w:val="24"/>
          <w:bdr w:val="none" w:sz="0" w:space="0" w:color="auto" w:frame="1"/>
          <w:lang w:eastAsia="bg-BG"/>
        </w:rPr>
        <w:t>Считано от 01.01.2029г. забраната за използването на твърди горива за битово отопление обхваща цялата територия на Столична община.</w:t>
      </w:r>
    </w:p>
    <w:p w14:paraId="1C162A47" w14:textId="6E6BAD07" w:rsidR="0026742A" w:rsidRPr="0026742A" w:rsidRDefault="00863AEF" w:rsidP="0026742A">
      <w:pPr>
        <w:spacing w:after="0" w:line="240" w:lineRule="auto"/>
        <w:ind w:firstLine="1134"/>
        <w:jc w:val="both"/>
        <w:rPr>
          <w:rFonts w:ascii="Times New Roman" w:eastAsia="Times New Roman" w:hAnsi="Times New Roman"/>
          <w:bCs/>
          <w:iCs/>
          <w:sz w:val="24"/>
          <w:szCs w:val="24"/>
          <w:u w:val="single"/>
          <w:bdr w:val="none" w:sz="0" w:space="0" w:color="auto" w:frame="1"/>
          <w:lang w:eastAsia="bg-BG"/>
        </w:rPr>
      </w:pPr>
      <w:r>
        <w:rPr>
          <w:rFonts w:ascii="Times New Roman" w:eastAsia="Times New Roman" w:hAnsi="Times New Roman"/>
          <w:bCs/>
          <w:iCs/>
          <w:sz w:val="24"/>
          <w:szCs w:val="24"/>
          <w:bdr w:val="none" w:sz="0" w:space="0" w:color="auto" w:frame="1"/>
          <w:lang w:eastAsia="bg-BG"/>
        </w:rPr>
        <w:t xml:space="preserve">Във връзка </w:t>
      </w:r>
      <w:r w:rsidR="00F51B4D">
        <w:rPr>
          <w:rFonts w:ascii="Times New Roman" w:eastAsia="Times New Roman" w:hAnsi="Times New Roman"/>
          <w:bCs/>
          <w:iCs/>
          <w:sz w:val="24"/>
          <w:szCs w:val="24"/>
          <w:bdr w:val="none" w:sz="0" w:space="0" w:color="auto" w:frame="1"/>
          <w:lang w:eastAsia="bg-BG"/>
        </w:rPr>
        <w:t xml:space="preserve">с горното, </w:t>
      </w:r>
      <w:r>
        <w:rPr>
          <w:rFonts w:ascii="Times New Roman" w:eastAsia="Times New Roman" w:hAnsi="Times New Roman"/>
          <w:bCs/>
          <w:iCs/>
          <w:sz w:val="24"/>
          <w:szCs w:val="24"/>
          <w:bdr w:val="none" w:sz="0" w:space="0" w:color="auto" w:frame="1"/>
          <w:lang w:eastAsia="bg-BG"/>
        </w:rPr>
        <w:t>н</w:t>
      </w:r>
      <w:r w:rsidR="0026742A" w:rsidRPr="0026742A">
        <w:rPr>
          <w:rFonts w:ascii="Times New Roman" w:eastAsia="Times New Roman" w:hAnsi="Times New Roman"/>
          <w:bCs/>
          <w:iCs/>
          <w:sz w:val="24"/>
          <w:szCs w:val="24"/>
          <w:bdr w:val="none" w:sz="0" w:space="0" w:color="auto" w:frame="1"/>
          <w:lang w:eastAsia="bg-BG"/>
        </w:rPr>
        <w:t xml:space="preserve">а гражданите, живеещи на територията на Столична община, които използват отоплителни уреди на твърди горива за битово отопление, се предоставя възможност за </w:t>
      </w:r>
      <w:r>
        <w:rPr>
          <w:rFonts w:ascii="Times New Roman" w:eastAsia="Times New Roman" w:hAnsi="Times New Roman"/>
          <w:bCs/>
          <w:iCs/>
          <w:sz w:val="24"/>
          <w:szCs w:val="24"/>
          <w:bdr w:val="none" w:sz="0" w:space="0" w:color="auto" w:frame="1"/>
          <w:lang w:eastAsia="bg-BG"/>
        </w:rPr>
        <w:t xml:space="preserve">тяхната </w:t>
      </w:r>
      <w:r w:rsidR="0026742A" w:rsidRPr="0026742A">
        <w:rPr>
          <w:rFonts w:ascii="Times New Roman" w:eastAsia="Times New Roman" w:hAnsi="Times New Roman"/>
          <w:bCs/>
          <w:iCs/>
          <w:sz w:val="24"/>
          <w:szCs w:val="24"/>
          <w:bdr w:val="none" w:sz="0" w:space="0" w:color="auto" w:frame="1"/>
          <w:lang w:eastAsia="bg-BG"/>
        </w:rPr>
        <w:t>подмяна</w:t>
      </w:r>
      <w:r>
        <w:rPr>
          <w:rFonts w:ascii="Times New Roman" w:eastAsia="Times New Roman" w:hAnsi="Times New Roman"/>
          <w:bCs/>
          <w:iCs/>
          <w:sz w:val="24"/>
          <w:szCs w:val="24"/>
          <w:bdr w:val="none" w:sz="0" w:space="0" w:color="auto" w:frame="1"/>
          <w:lang w:eastAsia="bg-BG"/>
        </w:rPr>
        <w:t xml:space="preserve"> </w:t>
      </w:r>
      <w:r w:rsidR="00F51B4D">
        <w:rPr>
          <w:rFonts w:ascii="Times New Roman" w:eastAsia="Times New Roman" w:hAnsi="Times New Roman"/>
          <w:bCs/>
          <w:iCs/>
          <w:sz w:val="24"/>
          <w:szCs w:val="24"/>
          <w:bdr w:val="none" w:sz="0" w:space="0" w:color="auto" w:frame="1"/>
          <w:lang w:eastAsia="bg-BG"/>
        </w:rPr>
        <w:t>в рамките на</w:t>
      </w:r>
      <w:r>
        <w:rPr>
          <w:rFonts w:ascii="Times New Roman" w:eastAsia="Times New Roman" w:hAnsi="Times New Roman"/>
          <w:bCs/>
          <w:iCs/>
          <w:sz w:val="24"/>
          <w:szCs w:val="24"/>
          <w:bdr w:val="none" w:sz="0" w:space="0" w:color="auto" w:frame="1"/>
          <w:lang w:eastAsia="bg-BG"/>
        </w:rPr>
        <w:t xml:space="preserve"> посочените</w:t>
      </w:r>
      <w:r w:rsidR="0026742A" w:rsidRPr="0026742A">
        <w:rPr>
          <w:rFonts w:ascii="Times New Roman" w:eastAsia="Times New Roman" w:hAnsi="Times New Roman"/>
          <w:bCs/>
          <w:iCs/>
          <w:sz w:val="24"/>
          <w:szCs w:val="24"/>
          <w:bdr w:val="none" w:sz="0" w:space="0" w:color="auto" w:frame="1"/>
          <w:lang w:eastAsia="bg-BG"/>
        </w:rPr>
        <w:t xml:space="preserve"> проект</w:t>
      </w:r>
      <w:r>
        <w:rPr>
          <w:rFonts w:ascii="Times New Roman" w:eastAsia="Times New Roman" w:hAnsi="Times New Roman"/>
          <w:bCs/>
          <w:iCs/>
          <w:sz w:val="24"/>
          <w:szCs w:val="24"/>
          <w:bdr w:val="none" w:sz="0" w:space="0" w:color="auto" w:frame="1"/>
          <w:lang w:eastAsia="bg-BG"/>
        </w:rPr>
        <w:t>и</w:t>
      </w:r>
      <w:r w:rsidR="0026742A" w:rsidRPr="0026742A">
        <w:rPr>
          <w:rFonts w:ascii="Times New Roman" w:eastAsia="Times New Roman" w:hAnsi="Times New Roman"/>
          <w:bCs/>
          <w:iCs/>
          <w:sz w:val="24"/>
          <w:szCs w:val="24"/>
          <w:bdr w:val="none" w:sz="0" w:space="0" w:color="auto" w:frame="1"/>
          <w:lang w:eastAsia="bg-BG"/>
        </w:rPr>
        <w:t xml:space="preserve">. За предоставяне на информация към жителите на Столична община са изготвени 2 карти, свързани с прилагането на </w:t>
      </w:r>
      <w:proofErr w:type="spellStart"/>
      <w:r w:rsidR="0026742A" w:rsidRPr="0026742A">
        <w:rPr>
          <w:rFonts w:ascii="Times New Roman" w:eastAsia="Times New Roman" w:hAnsi="Times New Roman"/>
          <w:bCs/>
          <w:iCs/>
          <w:sz w:val="24"/>
          <w:szCs w:val="24"/>
          <w:bdr w:val="none" w:sz="0" w:space="0" w:color="auto" w:frame="1"/>
          <w:lang w:eastAsia="bg-BG"/>
        </w:rPr>
        <w:t>нискоемисионните</w:t>
      </w:r>
      <w:proofErr w:type="spellEnd"/>
      <w:r w:rsidR="0026742A" w:rsidRPr="0026742A">
        <w:rPr>
          <w:rFonts w:ascii="Times New Roman" w:eastAsia="Times New Roman" w:hAnsi="Times New Roman"/>
          <w:bCs/>
          <w:iCs/>
          <w:sz w:val="24"/>
          <w:szCs w:val="24"/>
          <w:bdr w:val="none" w:sz="0" w:space="0" w:color="auto" w:frame="1"/>
          <w:lang w:eastAsia="bg-BG"/>
        </w:rPr>
        <w:t xml:space="preserve"> зони от битово отопление – съответно от 2025г. за 9-те района на територията на Столична община, както за цялата територия на Столична община, от 2029г.</w:t>
      </w:r>
      <w:r w:rsidR="001D3CA1">
        <w:rPr>
          <w:rStyle w:val="FootnoteReference"/>
          <w:rFonts w:ascii="Times New Roman" w:eastAsia="Times New Roman" w:hAnsi="Times New Roman"/>
          <w:bCs/>
          <w:iCs/>
          <w:sz w:val="24"/>
          <w:szCs w:val="24"/>
          <w:bdr w:val="none" w:sz="0" w:space="0" w:color="auto" w:frame="1"/>
          <w:lang w:eastAsia="bg-BG"/>
        </w:rPr>
        <w:footnoteReference w:id="3"/>
      </w:r>
      <w:r w:rsidR="0026742A" w:rsidRPr="0026742A">
        <w:rPr>
          <w:rFonts w:ascii="Times New Roman" w:eastAsia="Times New Roman" w:hAnsi="Times New Roman"/>
          <w:bCs/>
          <w:iCs/>
          <w:sz w:val="24"/>
          <w:szCs w:val="24"/>
          <w:bdr w:val="none" w:sz="0" w:space="0" w:color="auto" w:frame="1"/>
          <w:lang w:eastAsia="bg-BG"/>
        </w:rPr>
        <w:t xml:space="preserve"> </w:t>
      </w:r>
    </w:p>
    <w:p w14:paraId="196093BA" w14:textId="67FAC9F8" w:rsidR="00397A44" w:rsidRDefault="008C6BC9" w:rsidP="0093115A">
      <w:pPr>
        <w:spacing w:after="0" w:line="240" w:lineRule="auto"/>
        <w:ind w:firstLine="1134"/>
        <w:jc w:val="both"/>
        <w:rPr>
          <w:rFonts w:ascii="Times New Roman" w:eastAsia="Times New Roman" w:hAnsi="Times New Roman"/>
          <w:bCs/>
          <w:sz w:val="24"/>
          <w:szCs w:val="24"/>
          <w:bdr w:val="none" w:sz="0" w:space="0" w:color="auto" w:frame="1"/>
          <w:lang w:eastAsia="bg-BG"/>
        </w:rPr>
      </w:pPr>
      <w:r w:rsidRPr="00252B6B">
        <w:rPr>
          <w:rFonts w:ascii="Times New Roman" w:eastAsia="Times New Roman" w:hAnsi="Times New Roman"/>
          <w:bCs/>
          <w:sz w:val="24"/>
          <w:szCs w:val="24"/>
          <w:bdr w:val="none" w:sz="0" w:space="0" w:color="auto" w:frame="1"/>
          <w:lang w:eastAsia="bg-BG"/>
        </w:rPr>
        <w:t xml:space="preserve">Към </w:t>
      </w:r>
      <w:r w:rsidRPr="00B97223">
        <w:rPr>
          <w:rFonts w:ascii="Times New Roman" w:eastAsia="Times New Roman" w:hAnsi="Times New Roman"/>
          <w:bCs/>
          <w:sz w:val="24"/>
          <w:szCs w:val="24"/>
          <w:bdr w:val="none" w:sz="0" w:space="0" w:color="auto" w:frame="1"/>
          <w:lang w:eastAsia="bg-BG"/>
        </w:rPr>
        <w:t xml:space="preserve">момента няма </w:t>
      </w:r>
      <w:r w:rsidR="002F5302" w:rsidRPr="00B97223">
        <w:rPr>
          <w:rFonts w:ascii="Times New Roman" w:eastAsia="Times New Roman" w:hAnsi="Times New Roman"/>
          <w:bCs/>
          <w:sz w:val="24"/>
          <w:szCs w:val="24"/>
          <w:bdr w:val="none" w:sz="0" w:space="0" w:color="auto" w:frame="1"/>
          <w:lang w:eastAsia="bg-BG"/>
        </w:rPr>
        <w:t xml:space="preserve">друга </w:t>
      </w:r>
      <w:r w:rsidRPr="00B97223">
        <w:rPr>
          <w:rFonts w:ascii="Times New Roman" w:eastAsia="Times New Roman" w:hAnsi="Times New Roman"/>
          <w:bCs/>
          <w:sz w:val="24"/>
          <w:szCs w:val="24"/>
          <w:bdr w:val="none" w:sz="0" w:space="0" w:color="auto" w:frame="1"/>
          <w:lang w:eastAsia="bg-BG"/>
        </w:rPr>
        <w:t>община, която</w:t>
      </w:r>
      <w:r w:rsidRPr="00252B6B">
        <w:rPr>
          <w:rFonts w:ascii="Times New Roman" w:eastAsia="Times New Roman" w:hAnsi="Times New Roman"/>
          <w:bCs/>
          <w:sz w:val="24"/>
          <w:szCs w:val="24"/>
          <w:bdr w:val="none" w:sz="0" w:space="0" w:color="auto" w:frame="1"/>
          <w:lang w:eastAsia="bg-BG"/>
        </w:rPr>
        <w:t xml:space="preserve"> да е </w:t>
      </w:r>
      <w:r w:rsidR="009B7229">
        <w:rPr>
          <w:rFonts w:ascii="Times New Roman" w:eastAsia="Times New Roman" w:hAnsi="Times New Roman"/>
          <w:bCs/>
          <w:sz w:val="24"/>
          <w:szCs w:val="24"/>
          <w:bdr w:val="none" w:sz="0" w:space="0" w:color="auto" w:frame="1"/>
          <w:lang w:eastAsia="bg-BG"/>
        </w:rPr>
        <w:t>регламентирала</w:t>
      </w:r>
      <w:r w:rsidR="009B7229" w:rsidRPr="00252B6B">
        <w:rPr>
          <w:rFonts w:ascii="Times New Roman" w:eastAsia="Times New Roman" w:hAnsi="Times New Roman"/>
          <w:bCs/>
          <w:sz w:val="24"/>
          <w:szCs w:val="24"/>
          <w:bdr w:val="none" w:sz="0" w:space="0" w:color="auto" w:frame="1"/>
          <w:lang w:eastAsia="bg-BG"/>
        </w:rPr>
        <w:t xml:space="preserve"> </w:t>
      </w:r>
      <w:r w:rsidR="002F5302">
        <w:rPr>
          <w:rFonts w:ascii="Times New Roman" w:eastAsia="Times New Roman" w:hAnsi="Times New Roman"/>
          <w:bCs/>
          <w:sz w:val="24"/>
          <w:szCs w:val="24"/>
          <w:bdr w:val="none" w:sz="0" w:space="0" w:color="auto" w:frame="1"/>
          <w:lang w:eastAsia="bg-BG"/>
        </w:rPr>
        <w:t xml:space="preserve">изисквания по отношение на </w:t>
      </w:r>
      <w:r w:rsidRPr="00252B6B">
        <w:rPr>
          <w:rFonts w:ascii="Times New Roman" w:eastAsia="Times New Roman" w:hAnsi="Times New Roman"/>
          <w:bCs/>
          <w:sz w:val="24"/>
          <w:szCs w:val="24"/>
          <w:bdr w:val="none" w:sz="0" w:space="0" w:color="auto" w:frame="1"/>
          <w:lang w:eastAsia="bg-BG"/>
        </w:rPr>
        <w:t>зона с ниски е</w:t>
      </w:r>
      <w:r w:rsidR="003643AD" w:rsidRPr="00252B6B">
        <w:rPr>
          <w:rFonts w:ascii="Times New Roman" w:eastAsia="Times New Roman" w:hAnsi="Times New Roman"/>
          <w:bCs/>
          <w:sz w:val="24"/>
          <w:szCs w:val="24"/>
          <w:bdr w:val="none" w:sz="0" w:space="0" w:color="auto" w:frame="1"/>
          <w:lang w:eastAsia="bg-BG"/>
        </w:rPr>
        <w:t>мисии</w:t>
      </w:r>
      <w:r w:rsidR="002E57C8">
        <w:rPr>
          <w:rFonts w:ascii="Times New Roman" w:eastAsia="Times New Roman" w:hAnsi="Times New Roman"/>
          <w:bCs/>
          <w:sz w:val="24"/>
          <w:szCs w:val="24"/>
          <w:bdr w:val="none" w:sz="0" w:space="0" w:color="auto" w:frame="1"/>
          <w:lang w:eastAsia="bg-BG"/>
        </w:rPr>
        <w:t>,</w:t>
      </w:r>
      <w:r w:rsidR="003643AD" w:rsidRPr="00252B6B">
        <w:rPr>
          <w:rFonts w:ascii="Times New Roman" w:eastAsia="Times New Roman" w:hAnsi="Times New Roman"/>
          <w:bCs/>
          <w:sz w:val="24"/>
          <w:szCs w:val="24"/>
          <w:bdr w:val="none" w:sz="0" w:space="0" w:color="auto" w:frame="1"/>
          <w:lang w:eastAsia="bg-BG"/>
        </w:rPr>
        <w:t xml:space="preserve"> </w:t>
      </w:r>
      <w:r w:rsidR="002E57C8">
        <w:rPr>
          <w:rFonts w:ascii="Times New Roman" w:eastAsia="Times New Roman" w:hAnsi="Times New Roman"/>
          <w:bCs/>
          <w:sz w:val="24"/>
          <w:szCs w:val="24"/>
          <w:bdr w:val="none" w:sz="0" w:space="0" w:color="auto" w:frame="1"/>
          <w:lang w:eastAsia="bg-BG"/>
        </w:rPr>
        <w:t>свързана с ограничаване на емисиите на вредни вещества от</w:t>
      </w:r>
      <w:r w:rsidR="003643AD" w:rsidRPr="00252B6B">
        <w:rPr>
          <w:rFonts w:ascii="Times New Roman" w:eastAsia="Times New Roman" w:hAnsi="Times New Roman"/>
          <w:bCs/>
          <w:sz w:val="24"/>
          <w:szCs w:val="24"/>
          <w:bdr w:val="none" w:sz="0" w:space="0" w:color="auto" w:frame="1"/>
          <w:lang w:eastAsia="bg-BG"/>
        </w:rPr>
        <w:t xml:space="preserve"> битово</w:t>
      </w:r>
      <w:r w:rsidR="002E57C8">
        <w:rPr>
          <w:rFonts w:ascii="Times New Roman" w:eastAsia="Times New Roman" w:hAnsi="Times New Roman"/>
          <w:bCs/>
          <w:sz w:val="24"/>
          <w:szCs w:val="24"/>
          <w:bdr w:val="none" w:sz="0" w:space="0" w:color="auto" w:frame="1"/>
          <w:lang w:eastAsia="bg-BG"/>
        </w:rPr>
        <w:t>то</w:t>
      </w:r>
      <w:r w:rsidR="003643AD" w:rsidRPr="00252B6B">
        <w:rPr>
          <w:rFonts w:ascii="Times New Roman" w:eastAsia="Times New Roman" w:hAnsi="Times New Roman"/>
          <w:bCs/>
          <w:sz w:val="24"/>
          <w:szCs w:val="24"/>
          <w:bdr w:val="none" w:sz="0" w:space="0" w:color="auto" w:frame="1"/>
          <w:lang w:eastAsia="bg-BG"/>
        </w:rPr>
        <w:t xml:space="preserve"> отопление.</w:t>
      </w:r>
    </w:p>
    <w:p w14:paraId="2910074F" w14:textId="31BE611A" w:rsidR="005B5495" w:rsidRDefault="00397A44" w:rsidP="0093115A">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Според информация от община Стара Загора</w:t>
      </w:r>
      <w:r w:rsidR="00F51B4D">
        <w:rPr>
          <w:rFonts w:ascii="Times New Roman" w:eastAsia="Times New Roman" w:hAnsi="Times New Roman"/>
          <w:bCs/>
          <w:sz w:val="24"/>
          <w:szCs w:val="24"/>
          <w:bdr w:val="none" w:sz="0" w:space="0" w:color="auto" w:frame="1"/>
          <w:lang w:eastAsia="bg-BG"/>
        </w:rPr>
        <w:t>,</w:t>
      </w:r>
      <w:r>
        <w:rPr>
          <w:rFonts w:ascii="Times New Roman" w:eastAsia="Times New Roman" w:hAnsi="Times New Roman"/>
          <w:bCs/>
          <w:sz w:val="24"/>
          <w:szCs w:val="24"/>
          <w:bdr w:val="none" w:sz="0" w:space="0" w:color="auto" w:frame="1"/>
          <w:lang w:eastAsia="bg-BG"/>
        </w:rPr>
        <w:t xml:space="preserve"> мярката за подмяна на отоплителни уреди се прилага върху териториалния обхват на целия град Стара Загора и не се предвижда определяне на ЗНЕ.</w:t>
      </w:r>
      <w:r w:rsidR="006E4CD9">
        <w:rPr>
          <w:rFonts w:ascii="Times New Roman" w:eastAsia="Times New Roman" w:hAnsi="Times New Roman"/>
          <w:bCs/>
          <w:sz w:val="24"/>
          <w:szCs w:val="24"/>
          <w:bdr w:val="none" w:sz="0" w:space="0" w:color="auto" w:frame="1"/>
          <w:lang w:eastAsia="bg-BG"/>
        </w:rPr>
        <w:t xml:space="preserve"> </w:t>
      </w:r>
    </w:p>
    <w:p w14:paraId="66F53923" w14:textId="174118B9" w:rsidR="00397A44" w:rsidRDefault="006E4CD9" w:rsidP="0093115A">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Предвид изпълнението на проект „Намаляване на замърсяването на атмосферния въздух в кв. Долно Е</w:t>
      </w:r>
      <w:r w:rsidR="006945B1">
        <w:rPr>
          <w:rFonts w:ascii="Times New Roman" w:eastAsia="Times New Roman" w:hAnsi="Times New Roman"/>
          <w:bCs/>
          <w:sz w:val="24"/>
          <w:szCs w:val="24"/>
          <w:bdr w:val="none" w:sz="0" w:space="0" w:color="auto" w:frame="1"/>
          <w:lang w:eastAsia="bg-BG"/>
        </w:rPr>
        <w:t>зеро</w:t>
      </w:r>
      <w:r>
        <w:rPr>
          <w:rFonts w:ascii="Times New Roman" w:eastAsia="Times New Roman" w:hAnsi="Times New Roman"/>
          <w:bCs/>
          <w:sz w:val="24"/>
          <w:szCs w:val="24"/>
          <w:bdr w:val="none" w:sz="0" w:space="0" w:color="auto" w:frame="1"/>
          <w:lang w:eastAsia="bg-BG"/>
        </w:rPr>
        <w:t xml:space="preserve">во“ </w:t>
      </w:r>
      <w:r w:rsidR="006945B1">
        <w:rPr>
          <w:rFonts w:ascii="Times New Roman" w:eastAsia="Times New Roman" w:hAnsi="Times New Roman"/>
          <w:bCs/>
          <w:sz w:val="24"/>
          <w:szCs w:val="24"/>
          <w:bdr w:val="none" w:sz="0" w:space="0" w:color="auto" w:frame="1"/>
          <w:lang w:eastAsia="bg-BG"/>
        </w:rPr>
        <w:t xml:space="preserve">в град Бургас, както и интересът на гражданите за участие в изпълнението на проекта, </w:t>
      </w:r>
      <w:r w:rsidR="00F51B4D">
        <w:rPr>
          <w:rFonts w:ascii="Times New Roman" w:eastAsia="Times New Roman" w:hAnsi="Times New Roman"/>
          <w:bCs/>
          <w:sz w:val="24"/>
          <w:szCs w:val="24"/>
          <w:bdr w:val="none" w:sz="0" w:space="0" w:color="auto" w:frame="1"/>
          <w:lang w:eastAsia="bg-BG"/>
        </w:rPr>
        <w:t>според</w:t>
      </w:r>
      <w:r w:rsidR="00B41CF0">
        <w:rPr>
          <w:rFonts w:ascii="Times New Roman" w:eastAsia="Times New Roman" w:hAnsi="Times New Roman"/>
          <w:bCs/>
          <w:sz w:val="24"/>
          <w:szCs w:val="24"/>
          <w:bdr w:val="none" w:sz="0" w:space="0" w:color="auto" w:frame="1"/>
          <w:lang w:eastAsia="bg-BG"/>
        </w:rPr>
        <w:t xml:space="preserve"> информация от общината</w:t>
      </w:r>
      <w:r w:rsidR="00F51B4D">
        <w:rPr>
          <w:rFonts w:ascii="Times New Roman" w:eastAsia="Times New Roman" w:hAnsi="Times New Roman"/>
          <w:bCs/>
          <w:sz w:val="24"/>
          <w:szCs w:val="24"/>
          <w:bdr w:val="none" w:sz="0" w:space="0" w:color="auto" w:frame="1"/>
          <w:lang w:eastAsia="bg-BG"/>
        </w:rPr>
        <w:t xml:space="preserve"> </w:t>
      </w:r>
      <w:r w:rsidR="006945B1">
        <w:rPr>
          <w:rFonts w:ascii="Times New Roman" w:eastAsia="Times New Roman" w:hAnsi="Times New Roman"/>
          <w:bCs/>
          <w:sz w:val="24"/>
          <w:szCs w:val="24"/>
          <w:bdr w:val="none" w:sz="0" w:space="0" w:color="auto" w:frame="1"/>
          <w:lang w:eastAsia="bg-BG"/>
        </w:rPr>
        <w:t>не се налага и не се предвижда въвеждане на ЗНЕ за битово отопление.</w:t>
      </w:r>
    </w:p>
    <w:p w14:paraId="689DF2F1" w14:textId="7C4D1F7F" w:rsidR="004B7DC8" w:rsidRPr="00765956" w:rsidRDefault="004B7DC8" w:rsidP="0093115A">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0E7DF1BA" w14:textId="50104CD2" w:rsidR="00051EF5" w:rsidRPr="00051EF5" w:rsidRDefault="002F251B" w:rsidP="00051EF5">
      <w:pPr>
        <w:spacing w:after="0" w:line="240" w:lineRule="auto"/>
        <w:ind w:firstLine="1134"/>
        <w:jc w:val="both"/>
        <w:rPr>
          <w:rFonts w:ascii="Times New Roman" w:eastAsia="Times New Roman" w:hAnsi="Times New Roman"/>
          <w:bCs/>
          <w:sz w:val="24"/>
          <w:szCs w:val="24"/>
          <w:bdr w:val="none" w:sz="0" w:space="0" w:color="auto" w:frame="1"/>
          <w:lang w:eastAsia="bg-BG"/>
        </w:rPr>
      </w:pPr>
      <w:r w:rsidRPr="00252B6B">
        <w:rPr>
          <w:rFonts w:ascii="Times New Roman" w:eastAsia="Times New Roman" w:hAnsi="Times New Roman"/>
          <w:bCs/>
          <w:sz w:val="24"/>
          <w:szCs w:val="24"/>
          <w:bdr w:val="none" w:sz="0" w:space="0" w:color="auto" w:frame="1"/>
          <w:lang w:eastAsia="bg-BG"/>
        </w:rPr>
        <w:t>Има общини, в които</w:t>
      </w:r>
      <w:r w:rsidR="00AE78A1">
        <w:rPr>
          <w:rFonts w:ascii="Times New Roman" w:eastAsia="Times New Roman" w:hAnsi="Times New Roman"/>
          <w:bCs/>
          <w:sz w:val="24"/>
          <w:szCs w:val="24"/>
          <w:bdr w:val="none" w:sz="0" w:space="0" w:color="auto" w:frame="1"/>
          <w:lang w:eastAsia="bg-BG"/>
        </w:rPr>
        <w:t xml:space="preserve"> </w:t>
      </w:r>
      <w:r w:rsidRPr="00252B6B">
        <w:rPr>
          <w:rFonts w:ascii="Times New Roman" w:eastAsia="Times New Roman" w:hAnsi="Times New Roman"/>
          <w:bCs/>
          <w:sz w:val="24"/>
          <w:szCs w:val="24"/>
          <w:bdr w:val="none" w:sz="0" w:space="0" w:color="auto" w:frame="1"/>
          <w:lang w:eastAsia="bg-BG"/>
        </w:rPr>
        <w:t>до момента не са реализирани мерки по подмяна на уреди за битово отопление поради липса на осигурено фина</w:t>
      </w:r>
      <w:r w:rsidRPr="006F0B09">
        <w:rPr>
          <w:rFonts w:ascii="Times New Roman" w:eastAsia="Times New Roman" w:hAnsi="Times New Roman"/>
          <w:bCs/>
          <w:sz w:val="24"/>
          <w:szCs w:val="24"/>
          <w:bdr w:val="none" w:sz="0" w:space="0" w:color="auto" w:frame="1"/>
          <w:lang w:eastAsia="bg-BG"/>
        </w:rPr>
        <w:t>нсиране</w:t>
      </w:r>
      <w:r w:rsidR="00A73CF7" w:rsidRPr="00A73CF7">
        <w:rPr>
          <w:rFonts w:ascii="Times New Roman" w:eastAsia="Times New Roman" w:hAnsi="Times New Roman"/>
          <w:bCs/>
          <w:sz w:val="24"/>
          <w:szCs w:val="24"/>
          <w:bdr w:val="none" w:sz="0" w:space="0" w:color="auto" w:frame="1"/>
          <w:lang w:eastAsia="bg-BG"/>
        </w:rPr>
        <w:t xml:space="preserve"> и в които към календарната 2023г. е постигнато съответствие с регламентираните норми за ФПЧ</w:t>
      </w:r>
      <w:r w:rsidR="00A73CF7" w:rsidRPr="00682C23">
        <w:rPr>
          <w:rFonts w:ascii="Times New Roman" w:eastAsia="Times New Roman" w:hAnsi="Times New Roman"/>
          <w:bCs/>
          <w:sz w:val="24"/>
          <w:szCs w:val="24"/>
          <w:bdr w:val="none" w:sz="0" w:space="0" w:color="auto" w:frame="1"/>
          <w:vertAlign w:val="subscript"/>
          <w:lang w:eastAsia="bg-BG"/>
        </w:rPr>
        <w:t>10</w:t>
      </w:r>
      <w:r w:rsidRPr="00A73CF7">
        <w:rPr>
          <w:rFonts w:ascii="Times New Roman" w:eastAsia="Times New Roman" w:hAnsi="Times New Roman"/>
          <w:bCs/>
          <w:sz w:val="24"/>
          <w:szCs w:val="24"/>
          <w:bdr w:val="none" w:sz="0" w:space="0" w:color="auto" w:frame="1"/>
          <w:lang w:eastAsia="bg-BG"/>
        </w:rPr>
        <w:t>.</w:t>
      </w:r>
      <w:r w:rsidRPr="006F0B09">
        <w:rPr>
          <w:rFonts w:ascii="Times New Roman" w:eastAsia="Times New Roman" w:hAnsi="Times New Roman"/>
          <w:bCs/>
          <w:sz w:val="24"/>
          <w:szCs w:val="24"/>
          <w:bdr w:val="none" w:sz="0" w:space="0" w:color="auto" w:frame="1"/>
          <w:lang w:eastAsia="bg-BG"/>
        </w:rPr>
        <w:t xml:space="preserve"> </w:t>
      </w:r>
      <w:r w:rsidR="00A73CF7">
        <w:rPr>
          <w:rFonts w:ascii="Times New Roman" w:eastAsia="Times New Roman" w:hAnsi="Times New Roman"/>
          <w:bCs/>
          <w:sz w:val="24"/>
          <w:szCs w:val="24"/>
          <w:bdr w:val="none" w:sz="0" w:space="0" w:color="auto" w:frame="1"/>
          <w:lang w:eastAsia="bg-BG"/>
        </w:rPr>
        <w:t>Това е свързано и с</w:t>
      </w:r>
      <w:r w:rsidRPr="006F0B09">
        <w:rPr>
          <w:rFonts w:ascii="Times New Roman" w:eastAsia="Times New Roman" w:hAnsi="Times New Roman"/>
          <w:bCs/>
          <w:sz w:val="24"/>
          <w:szCs w:val="24"/>
          <w:bdr w:val="none" w:sz="0" w:space="0" w:color="auto" w:frame="1"/>
          <w:lang w:eastAsia="bg-BG"/>
        </w:rPr>
        <w:t xml:space="preserve"> факта, че част от гражданите по собствена инициатива са преминали към по-екологична форма на отопление</w:t>
      </w:r>
      <w:r w:rsidR="00A76F5E">
        <w:rPr>
          <w:rFonts w:ascii="Times New Roman" w:eastAsia="Times New Roman" w:hAnsi="Times New Roman"/>
          <w:bCs/>
          <w:sz w:val="24"/>
          <w:szCs w:val="24"/>
          <w:bdr w:val="none" w:sz="0" w:space="0" w:color="auto" w:frame="1"/>
          <w:lang w:eastAsia="bg-BG"/>
        </w:rPr>
        <w:t xml:space="preserve">. </w:t>
      </w:r>
      <w:r w:rsidR="00A73CF7">
        <w:rPr>
          <w:rFonts w:ascii="Times New Roman" w:eastAsia="Times New Roman" w:hAnsi="Times New Roman"/>
          <w:bCs/>
          <w:sz w:val="24"/>
          <w:szCs w:val="24"/>
          <w:bdr w:val="none" w:sz="0" w:space="0" w:color="auto" w:frame="1"/>
          <w:lang w:eastAsia="bg-BG"/>
        </w:rPr>
        <w:t>Последното</w:t>
      </w:r>
      <w:r w:rsidR="004243C0">
        <w:rPr>
          <w:rFonts w:ascii="Times New Roman" w:eastAsia="Times New Roman" w:hAnsi="Times New Roman"/>
          <w:bCs/>
          <w:sz w:val="24"/>
          <w:szCs w:val="24"/>
          <w:bdr w:val="none" w:sz="0" w:space="0" w:color="auto" w:frame="1"/>
          <w:lang w:eastAsia="bg-BG"/>
        </w:rPr>
        <w:t xml:space="preserve"> се потвърждава и от наличните данни</w:t>
      </w:r>
      <w:r w:rsidR="00D6172B">
        <w:rPr>
          <w:rFonts w:ascii="Times New Roman" w:eastAsia="Times New Roman" w:hAnsi="Times New Roman"/>
          <w:bCs/>
          <w:sz w:val="24"/>
          <w:szCs w:val="24"/>
          <w:bdr w:val="none" w:sz="0" w:space="0" w:color="auto" w:frame="1"/>
          <w:lang w:eastAsia="bg-BG"/>
        </w:rPr>
        <w:t xml:space="preserve"> от проведеното през 2021г. </w:t>
      </w:r>
      <w:r w:rsidR="00D02CB5" w:rsidRPr="00D02CB5">
        <w:rPr>
          <w:rFonts w:ascii="Times New Roman" w:eastAsia="Times New Roman" w:hAnsi="Times New Roman"/>
          <w:bCs/>
          <w:sz w:val="24"/>
          <w:szCs w:val="24"/>
          <w:bdr w:val="none" w:sz="0" w:space="0" w:color="auto" w:frame="1"/>
          <w:lang w:eastAsia="bg-BG"/>
        </w:rPr>
        <w:t>преброяване на населението и жилищния фонд в Република България</w:t>
      </w:r>
      <w:r w:rsidR="00D02CB5">
        <w:rPr>
          <w:rFonts w:ascii="Times New Roman" w:eastAsia="Times New Roman" w:hAnsi="Times New Roman"/>
          <w:bCs/>
          <w:sz w:val="24"/>
          <w:szCs w:val="24"/>
          <w:bdr w:val="none" w:sz="0" w:space="0" w:color="auto" w:frame="1"/>
          <w:lang w:eastAsia="bg-BG"/>
        </w:rPr>
        <w:t>. Съгласно информация</w:t>
      </w:r>
      <w:r w:rsidR="004243C0">
        <w:rPr>
          <w:rFonts w:ascii="Times New Roman" w:eastAsia="Times New Roman" w:hAnsi="Times New Roman"/>
          <w:bCs/>
          <w:sz w:val="24"/>
          <w:szCs w:val="24"/>
          <w:bdr w:val="none" w:sz="0" w:space="0" w:color="auto" w:frame="1"/>
          <w:lang w:eastAsia="bg-BG"/>
        </w:rPr>
        <w:t>та</w:t>
      </w:r>
      <w:r w:rsidR="00D02CB5">
        <w:rPr>
          <w:rFonts w:ascii="Times New Roman" w:eastAsia="Times New Roman" w:hAnsi="Times New Roman"/>
          <w:bCs/>
          <w:sz w:val="24"/>
          <w:szCs w:val="24"/>
          <w:bdr w:val="none" w:sz="0" w:space="0" w:color="auto" w:frame="1"/>
          <w:lang w:eastAsia="bg-BG"/>
        </w:rPr>
        <w:t xml:space="preserve"> за жилищните</w:t>
      </w:r>
      <w:r w:rsidR="0080660C">
        <w:rPr>
          <w:rFonts w:ascii="Times New Roman" w:eastAsia="Times New Roman" w:hAnsi="Times New Roman"/>
          <w:bCs/>
          <w:sz w:val="24"/>
          <w:szCs w:val="24"/>
          <w:bdr w:val="none" w:sz="0" w:space="0" w:color="auto" w:frame="1"/>
          <w:lang w:eastAsia="bg-BG"/>
        </w:rPr>
        <w:t xml:space="preserve"> условия към 7 септември 2021г., използваната енергия за отопление на обитаваните жилища е както следва: </w:t>
      </w:r>
      <w:r w:rsidR="004243C0">
        <w:rPr>
          <w:rFonts w:ascii="Times New Roman" w:eastAsia="Times New Roman" w:hAnsi="Times New Roman"/>
          <w:bCs/>
          <w:sz w:val="24"/>
          <w:szCs w:val="24"/>
          <w:bdr w:val="none" w:sz="0" w:space="0" w:color="auto" w:frame="1"/>
          <w:lang w:eastAsia="bg-BG"/>
        </w:rPr>
        <w:t>п</w:t>
      </w:r>
      <w:r w:rsidR="0080660C" w:rsidRPr="0080660C">
        <w:rPr>
          <w:rFonts w:ascii="Times New Roman" w:eastAsia="Times New Roman" w:hAnsi="Times New Roman"/>
          <w:bCs/>
          <w:sz w:val="24"/>
          <w:szCs w:val="24"/>
          <w:bdr w:val="none" w:sz="0" w:space="0" w:color="auto" w:frame="1"/>
          <w:lang w:eastAsia="bg-BG"/>
        </w:rPr>
        <w:t>очти половината от обитаваните жилища (47.7%) се отопляват с електричество,</w:t>
      </w:r>
      <w:r w:rsidR="0080660C">
        <w:rPr>
          <w:rFonts w:ascii="Times New Roman" w:eastAsia="Times New Roman" w:hAnsi="Times New Roman"/>
          <w:bCs/>
          <w:sz w:val="24"/>
          <w:szCs w:val="24"/>
          <w:bdr w:val="none" w:sz="0" w:space="0" w:color="auto" w:frame="1"/>
          <w:lang w:eastAsia="bg-BG"/>
        </w:rPr>
        <w:t xml:space="preserve"> </w:t>
      </w:r>
      <w:r w:rsidR="0080660C" w:rsidRPr="0080660C">
        <w:rPr>
          <w:rFonts w:ascii="Times New Roman" w:eastAsia="Times New Roman" w:hAnsi="Times New Roman"/>
          <w:bCs/>
          <w:sz w:val="24"/>
          <w:szCs w:val="24"/>
          <w:bdr w:val="none" w:sz="0" w:space="0" w:color="auto" w:frame="1"/>
          <w:lang w:eastAsia="bg-BG"/>
        </w:rPr>
        <w:t xml:space="preserve">36.3% </w:t>
      </w:r>
      <w:r w:rsidR="00D83209">
        <w:rPr>
          <w:rFonts w:ascii="Times New Roman" w:eastAsia="Times New Roman" w:hAnsi="Times New Roman"/>
          <w:bCs/>
          <w:sz w:val="24"/>
          <w:szCs w:val="24"/>
          <w:bdr w:val="none" w:sz="0" w:space="0" w:color="auto" w:frame="1"/>
          <w:lang w:eastAsia="bg-BG"/>
        </w:rPr>
        <w:t>–</w:t>
      </w:r>
      <w:r w:rsidR="0080660C" w:rsidRPr="0080660C">
        <w:rPr>
          <w:rFonts w:ascii="Times New Roman" w:eastAsia="Times New Roman" w:hAnsi="Times New Roman"/>
          <w:bCs/>
          <w:sz w:val="24"/>
          <w:szCs w:val="24"/>
          <w:bdr w:val="none" w:sz="0" w:space="0" w:color="auto" w:frame="1"/>
          <w:lang w:eastAsia="bg-BG"/>
        </w:rPr>
        <w:t xml:space="preserve"> с дърва, 13.3% </w:t>
      </w:r>
      <w:r w:rsidR="00D83209">
        <w:rPr>
          <w:rFonts w:ascii="Times New Roman" w:eastAsia="Times New Roman" w:hAnsi="Times New Roman"/>
          <w:bCs/>
          <w:sz w:val="24"/>
          <w:szCs w:val="24"/>
          <w:bdr w:val="none" w:sz="0" w:space="0" w:color="auto" w:frame="1"/>
          <w:lang w:eastAsia="bg-BG"/>
        </w:rPr>
        <w:t>–</w:t>
      </w:r>
      <w:r w:rsidR="0080660C" w:rsidRPr="0080660C">
        <w:rPr>
          <w:rFonts w:ascii="Times New Roman" w:eastAsia="Times New Roman" w:hAnsi="Times New Roman"/>
          <w:bCs/>
          <w:sz w:val="24"/>
          <w:szCs w:val="24"/>
          <w:bdr w:val="none" w:sz="0" w:space="0" w:color="auto" w:frame="1"/>
          <w:lang w:eastAsia="bg-BG"/>
        </w:rPr>
        <w:t xml:space="preserve"> с топлинна енергия от централен източник (парно), 4.8% </w:t>
      </w:r>
      <w:r w:rsidR="00D83209">
        <w:rPr>
          <w:rFonts w:ascii="Times New Roman" w:eastAsia="Times New Roman" w:hAnsi="Times New Roman"/>
          <w:bCs/>
          <w:sz w:val="24"/>
          <w:szCs w:val="24"/>
          <w:bdr w:val="none" w:sz="0" w:space="0" w:color="auto" w:frame="1"/>
          <w:lang w:eastAsia="bg-BG"/>
        </w:rPr>
        <w:t>–</w:t>
      </w:r>
      <w:r w:rsidR="0080660C" w:rsidRPr="0080660C">
        <w:rPr>
          <w:rFonts w:ascii="Times New Roman" w:eastAsia="Times New Roman" w:hAnsi="Times New Roman"/>
          <w:bCs/>
          <w:sz w:val="24"/>
          <w:szCs w:val="24"/>
          <w:bdr w:val="none" w:sz="0" w:space="0" w:color="auto" w:frame="1"/>
          <w:lang w:eastAsia="bg-BG"/>
        </w:rPr>
        <w:t xml:space="preserve"> с</w:t>
      </w:r>
      <w:r w:rsidR="0080660C">
        <w:rPr>
          <w:rFonts w:ascii="Times New Roman" w:eastAsia="Times New Roman" w:hAnsi="Times New Roman"/>
          <w:bCs/>
          <w:sz w:val="24"/>
          <w:szCs w:val="24"/>
          <w:bdr w:val="none" w:sz="0" w:space="0" w:color="auto" w:frame="1"/>
          <w:lang w:eastAsia="bg-BG"/>
        </w:rPr>
        <w:t xml:space="preserve"> </w:t>
      </w:r>
      <w:r w:rsidR="0080660C" w:rsidRPr="0080660C">
        <w:rPr>
          <w:rFonts w:ascii="Times New Roman" w:eastAsia="Times New Roman" w:hAnsi="Times New Roman"/>
          <w:bCs/>
          <w:sz w:val="24"/>
          <w:szCs w:val="24"/>
          <w:bdr w:val="none" w:sz="0" w:space="0" w:color="auto" w:frame="1"/>
          <w:lang w:eastAsia="bg-BG"/>
        </w:rPr>
        <w:t xml:space="preserve">въглища, 4.1% </w:t>
      </w:r>
      <w:r w:rsidR="00D83209">
        <w:rPr>
          <w:rFonts w:ascii="Times New Roman" w:eastAsia="Times New Roman" w:hAnsi="Times New Roman"/>
          <w:bCs/>
          <w:sz w:val="24"/>
          <w:szCs w:val="24"/>
          <w:bdr w:val="none" w:sz="0" w:space="0" w:color="auto" w:frame="1"/>
          <w:lang w:eastAsia="bg-BG"/>
        </w:rPr>
        <w:t>–</w:t>
      </w:r>
      <w:r w:rsidR="0080660C" w:rsidRPr="0080660C">
        <w:rPr>
          <w:rFonts w:ascii="Times New Roman" w:eastAsia="Times New Roman" w:hAnsi="Times New Roman"/>
          <w:bCs/>
          <w:sz w:val="24"/>
          <w:szCs w:val="24"/>
          <w:bdr w:val="none" w:sz="0" w:space="0" w:color="auto" w:frame="1"/>
          <w:lang w:eastAsia="bg-BG"/>
        </w:rPr>
        <w:t xml:space="preserve"> с </w:t>
      </w:r>
      <w:proofErr w:type="spellStart"/>
      <w:r w:rsidR="0080660C" w:rsidRPr="0080660C">
        <w:rPr>
          <w:rFonts w:ascii="Times New Roman" w:eastAsia="Times New Roman" w:hAnsi="Times New Roman"/>
          <w:bCs/>
          <w:sz w:val="24"/>
          <w:szCs w:val="24"/>
          <w:bdr w:val="none" w:sz="0" w:space="0" w:color="auto" w:frame="1"/>
          <w:lang w:eastAsia="bg-BG"/>
        </w:rPr>
        <w:t>пелети</w:t>
      </w:r>
      <w:proofErr w:type="spellEnd"/>
      <w:r w:rsidR="0080660C" w:rsidRPr="0080660C">
        <w:rPr>
          <w:rFonts w:ascii="Times New Roman" w:eastAsia="Times New Roman" w:hAnsi="Times New Roman"/>
          <w:bCs/>
          <w:sz w:val="24"/>
          <w:szCs w:val="24"/>
          <w:bdr w:val="none" w:sz="0" w:space="0" w:color="auto" w:frame="1"/>
          <w:lang w:eastAsia="bg-BG"/>
        </w:rPr>
        <w:t xml:space="preserve">, 2.5% </w:t>
      </w:r>
      <w:r w:rsidR="00D83209">
        <w:rPr>
          <w:rFonts w:ascii="Times New Roman" w:eastAsia="Times New Roman" w:hAnsi="Times New Roman"/>
          <w:bCs/>
          <w:sz w:val="24"/>
          <w:szCs w:val="24"/>
          <w:bdr w:val="none" w:sz="0" w:space="0" w:color="auto" w:frame="1"/>
          <w:lang w:eastAsia="bg-BG"/>
        </w:rPr>
        <w:t>–</w:t>
      </w:r>
      <w:r w:rsidR="0080660C" w:rsidRPr="0080660C">
        <w:rPr>
          <w:rFonts w:ascii="Times New Roman" w:eastAsia="Times New Roman" w:hAnsi="Times New Roman"/>
          <w:bCs/>
          <w:sz w:val="24"/>
          <w:szCs w:val="24"/>
          <w:bdr w:val="none" w:sz="0" w:space="0" w:color="auto" w:frame="1"/>
          <w:lang w:eastAsia="bg-BG"/>
        </w:rPr>
        <w:t xml:space="preserve"> с природен газ от централен източник.</w:t>
      </w:r>
      <w:r w:rsidR="00D6172B">
        <w:rPr>
          <w:rStyle w:val="FootnoteReference"/>
          <w:rFonts w:ascii="Times New Roman" w:eastAsia="Times New Roman" w:hAnsi="Times New Roman"/>
          <w:bCs/>
          <w:sz w:val="24"/>
          <w:szCs w:val="24"/>
          <w:bdr w:val="none" w:sz="0" w:space="0" w:color="auto" w:frame="1"/>
          <w:lang w:eastAsia="bg-BG"/>
        </w:rPr>
        <w:footnoteReference w:id="4"/>
      </w:r>
      <w:r w:rsidR="00D6172B">
        <w:rPr>
          <w:rFonts w:ascii="Times New Roman" w:eastAsia="Times New Roman" w:hAnsi="Times New Roman"/>
          <w:bCs/>
          <w:sz w:val="24"/>
          <w:szCs w:val="24"/>
          <w:bdr w:val="none" w:sz="0" w:space="0" w:color="auto" w:frame="1"/>
          <w:lang w:eastAsia="bg-BG"/>
        </w:rPr>
        <w:t>.</w:t>
      </w:r>
      <w:r w:rsidRPr="006F0B09">
        <w:rPr>
          <w:rFonts w:ascii="Times New Roman" w:eastAsia="Times New Roman" w:hAnsi="Times New Roman"/>
          <w:bCs/>
          <w:sz w:val="24"/>
          <w:szCs w:val="24"/>
          <w:bdr w:val="none" w:sz="0" w:space="0" w:color="auto" w:frame="1"/>
          <w:lang w:eastAsia="bg-BG"/>
        </w:rPr>
        <w:t xml:space="preserve"> </w:t>
      </w:r>
      <w:r w:rsidR="00051EF5">
        <w:rPr>
          <w:rFonts w:ascii="Times New Roman" w:eastAsia="Times New Roman" w:hAnsi="Times New Roman"/>
          <w:bCs/>
          <w:sz w:val="24"/>
          <w:szCs w:val="24"/>
          <w:bdr w:val="none" w:sz="0" w:space="0" w:color="auto" w:frame="1"/>
          <w:lang w:eastAsia="bg-BG"/>
        </w:rPr>
        <w:t>За сравнение, съгласно окончателни данни от Преброяването през 2011г.</w:t>
      </w:r>
      <w:r w:rsidR="00225D03" w:rsidRPr="004961EC">
        <w:rPr>
          <w:rFonts w:ascii="Times New Roman" w:eastAsia="Times New Roman" w:hAnsi="Times New Roman"/>
          <w:bCs/>
          <w:sz w:val="24"/>
          <w:szCs w:val="24"/>
          <w:bdr w:val="none" w:sz="0" w:space="0" w:color="auto" w:frame="1"/>
          <w:lang w:eastAsia="bg-BG"/>
        </w:rPr>
        <w:t>,</w:t>
      </w:r>
      <w:r w:rsidR="00051EF5">
        <w:rPr>
          <w:rFonts w:ascii="Times New Roman" w:eastAsia="Times New Roman" w:hAnsi="Times New Roman"/>
          <w:bCs/>
          <w:sz w:val="24"/>
          <w:szCs w:val="24"/>
          <w:bdr w:val="none" w:sz="0" w:space="0" w:color="auto" w:frame="1"/>
          <w:lang w:eastAsia="bg-BG"/>
        </w:rPr>
        <w:t xml:space="preserve"> о</w:t>
      </w:r>
      <w:r w:rsidR="00051EF5" w:rsidRPr="00051EF5">
        <w:rPr>
          <w:rFonts w:ascii="Times New Roman" w:eastAsia="Times New Roman" w:hAnsi="Times New Roman"/>
          <w:bCs/>
          <w:sz w:val="24"/>
          <w:szCs w:val="24"/>
          <w:bdr w:val="none" w:sz="0" w:space="0" w:color="auto" w:frame="1"/>
          <w:lang w:eastAsia="bg-BG"/>
        </w:rPr>
        <w:t xml:space="preserve">топлението на жилищата в страната се извършва основно с дърва и въглища </w:t>
      </w:r>
      <w:r w:rsidR="00D83209">
        <w:rPr>
          <w:rFonts w:ascii="Times New Roman" w:eastAsia="Times New Roman" w:hAnsi="Times New Roman"/>
          <w:bCs/>
          <w:sz w:val="24"/>
          <w:szCs w:val="24"/>
          <w:bdr w:val="none" w:sz="0" w:space="0" w:color="auto" w:frame="1"/>
          <w:lang w:eastAsia="bg-BG"/>
        </w:rPr>
        <w:t>–</w:t>
      </w:r>
      <w:r w:rsidR="00051EF5" w:rsidRPr="00051EF5">
        <w:rPr>
          <w:rFonts w:ascii="Times New Roman" w:eastAsia="Times New Roman" w:hAnsi="Times New Roman"/>
          <w:bCs/>
          <w:sz w:val="24"/>
          <w:szCs w:val="24"/>
          <w:bdr w:val="none" w:sz="0" w:space="0" w:color="auto" w:frame="1"/>
          <w:lang w:eastAsia="bg-BG"/>
        </w:rPr>
        <w:t xml:space="preserve"> 53.9%</w:t>
      </w:r>
      <w:r w:rsidR="00051EF5">
        <w:rPr>
          <w:rFonts w:ascii="Times New Roman" w:eastAsia="Times New Roman" w:hAnsi="Times New Roman"/>
          <w:bCs/>
          <w:sz w:val="24"/>
          <w:szCs w:val="24"/>
          <w:bdr w:val="none" w:sz="0" w:space="0" w:color="auto" w:frame="1"/>
          <w:lang w:eastAsia="bg-BG"/>
        </w:rPr>
        <w:t xml:space="preserve"> </w:t>
      </w:r>
      <w:r w:rsidR="00051EF5" w:rsidRPr="00051EF5">
        <w:rPr>
          <w:rFonts w:ascii="Times New Roman" w:eastAsia="Times New Roman" w:hAnsi="Times New Roman"/>
          <w:bCs/>
          <w:sz w:val="24"/>
          <w:szCs w:val="24"/>
          <w:bdr w:val="none" w:sz="0" w:space="0" w:color="auto" w:frame="1"/>
          <w:lang w:eastAsia="bg-BG"/>
        </w:rPr>
        <w:t xml:space="preserve">от обитаваните жилища. С </w:t>
      </w:r>
      <w:r w:rsidR="00051EF5" w:rsidRPr="00051EF5">
        <w:rPr>
          <w:rFonts w:ascii="Times New Roman" w:eastAsia="Times New Roman" w:hAnsi="Times New Roman"/>
          <w:bCs/>
          <w:sz w:val="24"/>
          <w:szCs w:val="24"/>
          <w:bdr w:val="none" w:sz="0" w:space="0" w:color="auto" w:frame="1"/>
          <w:lang w:eastAsia="bg-BG"/>
        </w:rPr>
        <w:lastRenderedPageBreak/>
        <w:t xml:space="preserve">електричество се отопляват 28.6%, с парно от централен източник </w:t>
      </w:r>
      <w:r w:rsidR="00D83209">
        <w:rPr>
          <w:rFonts w:ascii="Times New Roman" w:eastAsia="Times New Roman" w:hAnsi="Times New Roman"/>
          <w:bCs/>
          <w:sz w:val="24"/>
          <w:szCs w:val="24"/>
          <w:bdr w:val="none" w:sz="0" w:space="0" w:color="auto" w:frame="1"/>
          <w:lang w:eastAsia="bg-BG"/>
        </w:rPr>
        <w:t>–</w:t>
      </w:r>
      <w:r w:rsidR="00051EF5">
        <w:rPr>
          <w:rFonts w:ascii="Times New Roman" w:eastAsia="Times New Roman" w:hAnsi="Times New Roman"/>
          <w:bCs/>
          <w:sz w:val="24"/>
          <w:szCs w:val="24"/>
          <w:bdr w:val="none" w:sz="0" w:space="0" w:color="auto" w:frame="1"/>
          <w:lang w:eastAsia="bg-BG"/>
        </w:rPr>
        <w:t xml:space="preserve"> </w:t>
      </w:r>
      <w:r w:rsidR="00051EF5" w:rsidRPr="00051EF5">
        <w:rPr>
          <w:rFonts w:ascii="Times New Roman" w:eastAsia="Times New Roman" w:hAnsi="Times New Roman"/>
          <w:bCs/>
          <w:sz w:val="24"/>
          <w:szCs w:val="24"/>
          <w:bdr w:val="none" w:sz="0" w:space="0" w:color="auto" w:frame="1"/>
          <w:lang w:eastAsia="bg-BG"/>
        </w:rPr>
        <w:t xml:space="preserve">15.1%, и с газ от централен източник </w:t>
      </w:r>
      <w:r w:rsidR="00D83209">
        <w:rPr>
          <w:rFonts w:ascii="Times New Roman" w:eastAsia="Times New Roman" w:hAnsi="Times New Roman"/>
          <w:bCs/>
          <w:sz w:val="24"/>
          <w:szCs w:val="24"/>
          <w:bdr w:val="none" w:sz="0" w:space="0" w:color="auto" w:frame="1"/>
          <w:lang w:eastAsia="bg-BG"/>
        </w:rPr>
        <w:t>–</w:t>
      </w:r>
      <w:r w:rsidR="00051EF5" w:rsidRPr="00051EF5">
        <w:rPr>
          <w:rFonts w:ascii="Times New Roman" w:eastAsia="Times New Roman" w:hAnsi="Times New Roman"/>
          <w:bCs/>
          <w:sz w:val="24"/>
          <w:szCs w:val="24"/>
          <w:bdr w:val="none" w:sz="0" w:space="0" w:color="auto" w:frame="1"/>
          <w:lang w:eastAsia="bg-BG"/>
        </w:rPr>
        <w:t xml:space="preserve"> 1.3% от жилищата</w:t>
      </w:r>
      <w:r w:rsidR="00051EF5">
        <w:rPr>
          <w:rStyle w:val="FootnoteReference"/>
          <w:rFonts w:ascii="Times New Roman" w:eastAsia="Times New Roman" w:hAnsi="Times New Roman"/>
          <w:bCs/>
          <w:sz w:val="24"/>
          <w:szCs w:val="24"/>
          <w:bdr w:val="none" w:sz="0" w:space="0" w:color="auto" w:frame="1"/>
          <w:lang w:eastAsia="bg-BG"/>
        </w:rPr>
        <w:footnoteReference w:id="5"/>
      </w:r>
      <w:r w:rsidR="00051EF5" w:rsidRPr="00051EF5">
        <w:rPr>
          <w:rFonts w:ascii="Times New Roman" w:eastAsia="Times New Roman" w:hAnsi="Times New Roman"/>
          <w:bCs/>
          <w:sz w:val="24"/>
          <w:szCs w:val="24"/>
          <w:bdr w:val="none" w:sz="0" w:space="0" w:color="auto" w:frame="1"/>
          <w:lang w:eastAsia="bg-BG"/>
        </w:rPr>
        <w:t xml:space="preserve">. </w:t>
      </w:r>
    </w:p>
    <w:p w14:paraId="10AF2ECF" w14:textId="1DB294AC" w:rsidR="009A1F52" w:rsidRPr="004A223B" w:rsidRDefault="00D83209"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Като</w:t>
      </w:r>
      <w:r w:rsidR="004B7DC8" w:rsidRPr="004A223B">
        <w:rPr>
          <w:rFonts w:ascii="Times New Roman" w:eastAsia="Times New Roman" w:hAnsi="Times New Roman"/>
          <w:bCs/>
          <w:sz w:val="24"/>
          <w:szCs w:val="24"/>
          <w:bdr w:val="none" w:sz="0" w:space="0" w:color="auto" w:frame="1"/>
          <w:lang w:eastAsia="bg-BG"/>
        </w:rPr>
        <w:t xml:space="preserve"> фактор, ко</w:t>
      </w:r>
      <w:r>
        <w:rPr>
          <w:rFonts w:ascii="Times New Roman" w:eastAsia="Times New Roman" w:hAnsi="Times New Roman"/>
          <w:bCs/>
          <w:sz w:val="24"/>
          <w:szCs w:val="24"/>
          <w:bdr w:val="none" w:sz="0" w:space="0" w:color="auto" w:frame="1"/>
          <w:lang w:eastAsia="bg-BG"/>
        </w:rPr>
        <w:t>й</w:t>
      </w:r>
      <w:r w:rsidR="004B7DC8" w:rsidRPr="004A223B">
        <w:rPr>
          <w:rFonts w:ascii="Times New Roman" w:eastAsia="Times New Roman" w:hAnsi="Times New Roman"/>
          <w:bCs/>
          <w:sz w:val="24"/>
          <w:szCs w:val="24"/>
          <w:bdr w:val="none" w:sz="0" w:space="0" w:color="auto" w:frame="1"/>
          <w:lang w:eastAsia="bg-BG"/>
        </w:rPr>
        <w:t>то трябва да бъд</w:t>
      </w:r>
      <w:r>
        <w:rPr>
          <w:rFonts w:ascii="Times New Roman" w:eastAsia="Times New Roman" w:hAnsi="Times New Roman"/>
          <w:bCs/>
          <w:sz w:val="24"/>
          <w:szCs w:val="24"/>
          <w:bdr w:val="none" w:sz="0" w:space="0" w:color="auto" w:frame="1"/>
          <w:lang w:eastAsia="bg-BG"/>
        </w:rPr>
        <w:t>е</w:t>
      </w:r>
      <w:r w:rsidR="004B7DC8" w:rsidRPr="004A223B">
        <w:rPr>
          <w:rFonts w:ascii="Times New Roman" w:eastAsia="Times New Roman" w:hAnsi="Times New Roman"/>
          <w:bCs/>
          <w:sz w:val="24"/>
          <w:szCs w:val="24"/>
          <w:bdr w:val="none" w:sz="0" w:space="0" w:color="auto" w:frame="1"/>
          <w:lang w:eastAsia="bg-BG"/>
        </w:rPr>
        <w:t xml:space="preserve"> отчетен и </w:t>
      </w:r>
      <w:r w:rsidR="00A62B7A">
        <w:rPr>
          <w:rFonts w:ascii="Times New Roman" w:eastAsia="Times New Roman" w:hAnsi="Times New Roman"/>
          <w:bCs/>
          <w:sz w:val="24"/>
          <w:szCs w:val="24"/>
          <w:bdr w:val="none" w:sz="0" w:space="0" w:color="auto" w:frame="1"/>
          <w:lang w:eastAsia="bg-BG"/>
        </w:rPr>
        <w:t xml:space="preserve">който </w:t>
      </w:r>
      <w:r w:rsidR="004B7DC8" w:rsidRPr="004A223B">
        <w:rPr>
          <w:rFonts w:ascii="Times New Roman" w:eastAsia="Times New Roman" w:hAnsi="Times New Roman"/>
          <w:bCs/>
          <w:sz w:val="24"/>
          <w:szCs w:val="24"/>
          <w:bdr w:val="none" w:sz="0" w:space="0" w:color="auto" w:frame="1"/>
          <w:lang w:eastAsia="bg-BG"/>
        </w:rPr>
        <w:t>влия</w:t>
      </w:r>
      <w:r>
        <w:rPr>
          <w:rFonts w:ascii="Times New Roman" w:eastAsia="Times New Roman" w:hAnsi="Times New Roman"/>
          <w:bCs/>
          <w:sz w:val="24"/>
          <w:szCs w:val="24"/>
          <w:bdr w:val="none" w:sz="0" w:space="0" w:color="auto" w:frame="1"/>
          <w:lang w:eastAsia="bg-BG"/>
        </w:rPr>
        <w:t>е</w:t>
      </w:r>
      <w:r w:rsidR="004B7DC8" w:rsidRPr="004A223B">
        <w:rPr>
          <w:rFonts w:ascii="Times New Roman" w:eastAsia="Times New Roman" w:hAnsi="Times New Roman"/>
          <w:bCs/>
          <w:sz w:val="24"/>
          <w:szCs w:val="24"/>
          <w:bdr w:val="none" w:sz="0" w:space="0" w:color="auto" w:frame="1"/>
          <w:lang w:eastAsia="bg-BG"/>
        </w:rPr>
        <w:t xml:space="preserve"> негативно на процеса </w:t>
      </w:r>
      <w:r>
        <w:rPr>
          <w:rFonts w:ascii="Times New Roman" w:eastAsia="Times New Roman" w:hAnsi="Times New Roman"/>
          <w:bCs/>
          <w:sz w:val="24"/>
          <w:szCs w:val="24"/>
          <w:bdr w:val="none" w:sz="0" w:space="0" w:color="auto" w:frame="1"/>
          <w:lang w:eastAsia="bg-BG"/>
        </w:rPr>
        <w:t>на</w:t>
      </w:r>
      <w:r w:rsidR="004B7DC8" w:rsidRPr="004A223B">
        <w:rPr>
          <w:rFonts w:ascii="Times New Roman" w:eastAsia="Times New Roman" w:hAnsi="Times New Roman"/>
          <w:bCs/>
          <w:sz w:val="24"/>
          <w:szCs w:val="24"/>
          <w:bdr w:val="none" w:sz="0" w:space="0" w:color="auto" w:frame="1"/>
          <w:lang w:eastAsia="bg-BG"/>
        </w:rPr>
        <w:t xml:space="preserve"> подмяна на начина на отопление</w:t>
      </w:r>
      <w:r>
        <w:rPr>
          <w:rFonts w:ascii="Times New Roman" w:eastAsia="Times New Roman" w:hAnsi="Times New Roman"/>
          <w:bCs/>
          <w:sz w:val="24"/>
          <w:szCs w:val="24"/>
          <w:bdr w:val="none" w:sz="0" w:space="0" w:color="auto" w:frame="1"/>
          <w:lang w:eastAsia="bg-BG"/>
        </w:rPr>
        <w:t>,</w:t>
      </w:r>
      <w:r w:rsidR="004B7DC8" w:rsidRPr="004A223B">
        <w:rPr>
          <w:rFonts w:ascii="Times New Roman" w:eastAsia="Times New Roman" w:hAnsi="Times New Roman"/>
          <w:bCs/>
          <w:sz w:val="24"/>
          <w:szCs w:val="24"/>
          <w:bdr w:val="none" w:sz="0" w:space="0" w:color="auto" w:frame="1"/>
          <w:lang w:eastAsia="bg-BG"/>
        </w:rPr>
        <w:t xml:space="preserve"> </w:t>
      </w:r>
      <w:r>
        <w:rPr>
          <w:rFonts w:ascii="Times New Roman" w:eastAsia="Times New Roman" w:hAnsi="Times New Roman"/>
          <w:bCs/>
          <w:sz w:val="24"/>
          <w:szCs w:val="24"/>
          <w:bdr w:val="none" w:sz="0" w:space="0" w:color="auto" w:frame="1"/>
          <w:lang w:eastAsia="bg-BG"/>
        </w:rPr>
        <w:t>е</w:t>
      </w:r>
      <w:r w:rsidR="004B7DC8" w:rsidRPr="004A223B">
        <w:rPr>
          <w:rFonts w:ascii="Times New Roman" w:eastAsia="Times New Roman" w:hAnsi="Times New Roman"/>
          <w:bCs/>
          <w:sz w:val="24"/>
          <w:szCs w:val="24"/>
          <w:bdr w:val="none" w:sz="0" w:space="0" w:color="auto" w:frame="1"/>
          <w:lang w:eastAsia="bg-BG"/>
        </w:rPr>
        <w:t xml:space="preserve"> покачващите се цени на енергоносителите и </w:t>
      </w:r>
      <w:r>
        <w:rPr>
          <w:rFonts w:ascii="Times New Roman" w:eastAsia="Times New Roman" w:hAnsi="Times New Roman"/>
          <w:bCs/>
          <w:sz w:val="24"/>
          <w:szCs w:val="24"/>
          <w:bdr w:val="none" w:sz="0" w:space="0" w:color="auto" w:frame="1"/>
          <w:lang w:eastAsia="bg-BG"/>
        </w:rPr>
        <w:t xml:space="preserve">съответно – </w:t>
      </w:r>
      <w:r w:rsidR="004B7DC8" w:rsidRPr="004A223B">
        <w:rPr>
          <w:rFonts w:ascii="Times New Roman" w:eastAsia="Times New Roman" w:hAnsi="Times New Roman"/>
          <w:bCs/>
          <w:sz w:val="24"/>
          <w:szCs w:val="24"/>
          <w:bdr w:val="none" w:sz="0" w:space="0" w:color="auto" w:frame="1"/>
          <w:lang w:eastAsia="bg-BG"/>
        </w:rPr>
        <w:t>тяхната достъпност за населението.</w:t>
      </w:r>
    </w:p>
    <w:p w14:paraId="2BA3848E" w14:textId="77777777" w:rsidR="009A1F52" w:rsidRDefault="009A1F52"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3B210EC2" w14:textId="77777777" w:rsidR="00A95D33" w:rsidRPr="00252B6B" w:rsidRDefault="00A95D33" w:rsidP="00365B4C">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7E3FF3C7" w14:textId="0CD119EF" w:rsidR="00584AC8" w:rsidRPr="005F71F4" w:rsidRDefault="00ED3018" w:rsidP="005F6126">
      <w:pPr>
        <w:pStyle w:val="Heading2"/>
        <w:tabs>
          <w:tab w:val="left" w:pos="360"/>
        </w:tabs>
        <w:spacing w:before="0" w:line="240" w:lineRule="auto"/>
        <w:rPr>
          <w:rFonts w:ascii="Times New Roman" w:hAnsi="Times New Roman"/>
          <w:color w:val="auto"/>
          <w:bdr w:val="none" w:sz="0" w:space="0" w:color="auto" w:frame="1"/>
          <w:lang w:eastAsia="bg-BG"/>
        </w:rPr>
      </w:pPr>
      <w:bookmarkStart w:id="17" w:name="_Toc118121790"/>
      <w:bookmarkStart w:id="18" w:name="_Toc175822511"/>
      <w:r w:rsidRPr="00792F66">
        <w:rPr>
          <w:rFonts w:ascii="Times New Roman" w:hAnsi="Times New Roman"/>
          <w:color w:val="auto"/>
          <w:bdr w:val="none" w:sz="0" w:space="0" w:color="auto" w:frame="1"/>
          <w:lang w:val="ru-RU" w:eastAsia="bg-BG"/>
        </w:rPr>
        <w:t>2.</w:t>
      </w:r>
      <w:r w:rsidR="005F6126">
        <w:rPr>
          <w:rFonts w:ascii="Times New Roman" w:hAnsi="Times New Roman"/>
          <w:color w:val="auto"/>
          <w:bdr w:val="none" w:sz="0" w:space="0" w:color="auto" w:frame="1"/>
          <w:lang w:val="ru-RU" w:eastAsia="bg-BG"/>
        </w:rPr>
        <w:tab/>
      </w:r>
      <w:r w:rsidR="00133555">
        <w:rPr>
          <w:rFonts w:ascii="Times New Roman" w:hAnsi="Times New Roman"/>
          <w:color w:val="auto"/>
          <w:bdr w:val="none" w:sz="0" w:space="0" w:color="auto" w:frame="1"/>
          <w:lang w:val="ru-RU" w:eastAsia="bg-BG"/>
        </w:rPr>
        <w:t xml:space="preserve">МЕРКИ В </w:t>
      </w:r>
      <w:r w:rsidR="00584AC8" w:rsidRPr="005F71F4">
        <w:rPr>
          <w:rFonts w:ascii="Times New Roman" w:hAnsi="Times New Roman"/>
          <w:color w:val="auto"/>
          <w:bdr w:val="none" w:sz="0" w:space="0" w:color="auto" w:frame="1"/>
          <w:lang w:eastAsia="bg-BG"/>
        </w:rPr>
        <w:t>СЕКТОР ТРАНСПОРТ</w:t>
      </w:r>
      <w:bookmarkEnd w:id="17"/>
      <w:bookmarkEnd w:id="18"/>
    </w:p>
    <w:p w14:paraId="7678082F" w14:textId="77777777" w:rsidR="009A1F52" w:rsidRPr="00252B6B" w:rsidRDefault="009A1F52" w:rsidP="00301875">
      <w:pPr>
        <w:spacing w:after="0" w:line="240" w:lineRule="auto"/>
        <w:jc w:val="both"/>
        <w:rPr>
          <w:rFonts w:ascii="Times New Roman" w:eastAsia="Times New Roman" w:hAnsi="Times New Roman"/>
          <w:b/>
          <w:bCs/>
          <w:sz w:val="24"/>
          <w:szCs w:val="24"/>
          <w:bdr w:val="none" w:sz="0" w:space="0" w:color="auto" w:frame="1"/>
          <w:lang w:eastAsia="bg-BG"/>
        </w:rPr>
      </w:pPr>
    </w:p>
    <w:p w14:paraId="75DEECAE" w14:textId="77777777" w:rsidR="009D0A39" w:rsidRPr="006F0B09" w:rsidRDefault="009D0A39"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252B6B">
        <w:rPr>
          <w:rFonts w:ascii="Times New Roman" w:eastAsia="Times New Roman" w:hAnsi="Times New Roman"/>
          <w:bCs/>
          <w:sz w:val="24"/>
          <w:szCs w:val="24"/>
          <w:bdr w:val="none" w:sz="0" w:space="0" w:color="auto" w:frame="1"/>
          <w:lang w:eastAsia="bg-BG"/>
        </w:rPr>
        <w:t>Съгласно НППКАВ, източниците на ФПЧ от транспорта са по-малки от тези от битовото отопление, но са важни, а в някои горещи точки дори може да доминират. Целта на мерките по отношение на транспорта е да бъде гарантирано, че превозните средства не емитират п</w:t>
      </w:r>
      <w:r w:rsidRPr="006F0B09">
        <w:rPr>
          <w:rFonts w:ascii="Times New Roman" w:eastAsia="Times New Roman" w:hAnsi="Times New Roman"/>
          <w:bCs/>
          <w:sz w:val="24"/>
          <w:szCs w:val="24"/>
          <w:bdr w:val="none" w:sz="0" w:space="0" w:color="auto" w:frame="1"/>
          <w:lang w:eastAsia="bg-BG"/>
        </w:rPr>
        <w:t xml:space="preserve">овече, отколкото са били проектирани да емитират, тоест да се гарантира че контролните технологии са налице и работят, и второ, да се насърчи по-бързото внедряване на по-модерни и по-чисти превозни средства. </w:t>
      </w:r>
    </w:p>
    <w:p w14:paraId="042AC7ED" w14:textId="77777777" w:rsidR="00C3133B" w:rsidRPr="005F71F4" w:rsidRDefault="001A7597"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4A223B">
        <w:rPr>
          <w:rFonts w:ascii="Times New Roman" w:eastAsia="Times New Roman" w:hAnsi="Times New Roman"/>
          <w:bCs/>
          <w:sz w:val="24"/>
          <w:szCs w:val="24"/>
          <w:bdr w:val="none" w:sz="0" w:space="0" w:color="auto" w:frame="1"/>
          <w:lang w:eastAsia="bg-BG"/>
        </w:rPr>
        <w:t xml:space="preserve">В </w:t>
      </w:r>
      <w:r w:rsidR="00E46AC8" w:rsidRPr="00E46AC8">
        <w:rPr>
          <w:rFonts w:ascii="Times New Roman" w:eastAsia="Times New Roman" w:hAnsi="Times New Roman"/>
          <w:bCs/>
          <w:sz w:val="24"/>
          <w:szCs w:val="24"/>
          <w:bdr w:val="none" w:sz="0" w:space="0" w:color="auto" w:frame="1"/>
          <w:lang w:eastAsia="bg-BG"/>
        </w:rPr>
        <w:t>НППКАВ</w:t>
      </w:r>
      <w:r w:rsidR="00E46AC8" w:rsidRPr="00E46AC8" w:rsidDel="00E46AC8">
        <w:rPr>
          <w:rFonts w:ascii="Times New Roman" w:eastAsia="Times New Roman" w:hAnsi="Times New Roman"/>
          <w:bCs/>
          <w:sz w:val="24"/>
          <w:szCs w:val="24"/>
          <w:bdr w:val="none" w:sz="0" w:space="0" w:color="auto" w:frame="1"/>
          <w:lang w:eastAsia="bg-BG"/>
        </w:rPr>
        <w:t xml:space="preserve"> </w:t>
      </w:r>
      <w:r w:rsidRPr="004A223B">
        <w:rPr>
          <w:rFonts w:ascii="Times New Roman" w:eastAsia="Times New Roman" w:hAnsi="Times New Roman"/>
          <w:bCs/>
          <w:sz w:val="24"/>
          <w:szCs w:val="24"/>
          <w:bdr w:val="none" w:sz="0" w:space="0" w:color="auto" w:frame="1"/>
          <w:lang w:eastAsia="bg-BG"/>
        </w:rPr>
        <w:t>са набелязани следните мерки, чието изпълнение следва да допринесе за намаляване на емисиите от този сектор:</w:t>
      </w:r>
    </w:p>
    <w:p w14:paraId="7844742F" w14:textId="77777777" w:rsidR="001A7597" w:rsidRPr="005F71F4" w:rsidRDefault="001A7597"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752A2BE7" w14:textId="77777777" w:rsidR="00C3133B" w:rsidRDefault="00BE2B7D">
      <w:pPr>
        <w:pStyle w:val="ListParagraph"/>
        <w:tabs>
          <w:tab w:val="left" w:pos="851"/>
        </w:tabs>
        <w:spacing w:after="0" w:line="240" w:lineRule="auto"/>
        <w:ind w:left="0"/>
        <w:jc w:val="both"/>
        <w:rPr>
          <w:rFonts w:ascii="Times New Roman" w:eastAsia="Times New Roman" w:hAnsi="Times New Roman"/>
          <w:b/>
          <w:bCs/>
          <w:sz w:val="24"/>
          <w:szCs w:val="24"/>
          <w:bdr w:val="none" w:sz="0" w:space="0" w:color="auto" w:frame="1"/>
          <w:lang w:eastAsia="bg-BG"/>
        </w:rPr>
      </w:pPr>
      <w:r w:rsidRPr="005F71F4">
        <w:rPr>
          <w:rFonts w:ascii="Times New Roman" w:eastAsia="Times New Roman" w:hAnsi="Times New Roman"/>
          <w:b/>
          <w:bCs/>
          <w:i/>
          <w:sz w:val="24"/>
          <w:szCs w:val="24"/>
          <w:bdr w:val="none" w:sz="0" w:space="0" w:color="auto" w:frame="1"/>
          <w:lang w:eastAsia="bg-BG"/>
        </w:rPr>
        <w:t>М</w:t>
      </w:r>
      <w:r w:rsidR="006F2DBB" w:rsidRPr="005F71F4">
        <w:rPr>
          <w:rFonts w:ascii="Times New Roman" w:eastAsia="Times New Roman" w:hAnsi="Times New Roman"/>
          <w:b/>
          <w:bCs/>
          <w:i/>
          <w:sz w:val="24"/>
          <w:szCs w:val="24"/>
          <w:bdr w:val="none" w:sz="0" w:space="0" w:color="auto" w:frame="1"/>
          <w:lang w:eastAsia="bg-BG"/>
        </w:rPr>
        <w:t>е</w:t>
      </w:r>
      <w:r w:rsidRPr="005F71F4">
        <w:rPr>
          <w:rFonts w:ascii="Times New Roman" w:eastAsia="Times New Roman" w:hAnsi="Times New Roman"/>
          <w:b/>
          <w:bCs/>
          <w:i/>
          <w:sz w:val="24"/>
          <w:szCs w:val="24"/>
          <w:bdr w:val="none" w:sz="0" w:space="0" w:color="auto" w:frame="1"/>
          <w:lang w:eastAsia="bg-BG"/>
        </w:rPr>
        <w:t>рк</w:t>
      </w:r>
      <w:r w:rsidR="00EB6764" w:rsidRPr="005F71F4">
        <w:rPr>
          <w:rFonts w:ascii="Times New Roman" w:eastAsia="Times New Roman" w:hAnsi="Times New Roman"/>
          <w:b/>
          <w:bCs/>
          <w:i/>
          <w:sz w:val="24"/>
          <w:szCs w:val="24"/>
          <w:bdr w:val="none" w:sz="0" w:space="0" w:color="auto" w:frame="1"/>
          <w:lang w:eastAsia="bg-BG"/>
        </w:rPr>
        <w:t>и</w:t>
      </w:r>
      <w:r w:rsidRPr="005F71F4">
        <w:rPr>
          <w:rFonts w:ascii="Times New Roman" w:hAnsi="Times New Roman"/>
          <w:b/>
          <w:i/>
        </w:rPr>
        <w:t xml:space="preserve">: </w:t>
      </w:r>
      <w:r w:rsidR="00C3133B" w:rsidRPr="005F71F4">
        <w:rPr>
          <w:rFonts w:ascii="Times New Roman" w:eastAsia="Times New Roman" w:hAnsi="Times New Roman"/>
          <w:b/>
          <w:bCs/>
          <w:sz w:val="24"/>
          <w:szCs w:val="24"/>
          <w:bdr w:val="none" w:sz="0" w:space="0" w:color="auto" w:frame="1"/>
          <w:lang w:eastAsia="bg-BG"/>
        </w:rPr>
        <w:t>Контрол при първоначална регистрация на моторните превозни средства (МПС)</w:t>
      </w:r>
      <w:r w:rsidR="001A7597" w:rsidRPr="005F71F4">
        <w:rPr>
          <w:rFonts w:ascii="Times New Roman" w:eastAsia="Times New Roman" w:hAnsi="Times New Roman"/>
          <w:b/>
          <w:bCs/>
          <w:sz w:val="24"/>
          <w:szCs w:val="24"/>
          <w:bdr w:val="none" w:sz="0" w:space="0" w:color="auto" w:frame="1"/>
          <w:lang w:eastAsia="bg-BG"/>
        </w:rPr>
        <w:t xml:space="preserve"> и п</w:t>
      </w:r>
      <w:r w:rsidR="00C3133B" w:rsidRPr="005F71F4">
        <w:rPr>
          <w:rFonts w:ascii="Times New Roman" w:eastAsia="Times New Roman" w:hAnsi="Times New Roman"/>
          <w:b/>
          <w:bCs/>
          <w:sz w:val="24"/>
          <w:szCs w:val="24"/>
          <w:bdr w:val="none" w:sz="0" w:space="0" w:color="auto" w:frame="1"/>
          <w:lang w:eastAsia="bg-BG"/>
        </w:rPr>
        <w:t>одобряване на контрола на МПС по пътищата</w:t>
      </w:r>
    </w:p>
    <w:p w14:paraId="6DE32E6F" w14:textId="77777777" w:rsidR="005F71F4" w:rsidRPr="005F71F4" w:rsidRDefault="005F71F4">
      <w:pPr>
        <w:pStyle w:val="ListParagraph"/>
        <w:tabs>
          <w:tab w:val="left" w:pos="851"/>
        </w:tabs>
        <w:spacing w:after="0" w:line="240" w:lineRule="auto"/>
        <w:ind w:left="0" w:firstLine="360"/>
        <w:jc w:val="both"/>
        <w:rPr>
          <w:rFonts w:ascii="Times New Roman" w:eastAsia="Times New Roman" w:hAnsi="Times New Roman"/>
          <w:b/>
          <w:bCs/>
          <w:sz w:val="24"/>
          <w:szCs w:val="24"/>
          <w:bdr w:val="none" w:sz="0" w:space="0" w:color="auto" w:frame="1"/>
          <w:lang w:eastAsia="bg-BG"/>
        </w:rPr>
      </w:pPr>
    </w:p>
    <w:p w14:paraId="3E3E83C7" w14:textId="6BBF13B9" w:rsidR="001A7597" w:rsidRPr="00252B6B" w:rsidRDefault="00485E24" w:rsidP="00506F4F">
      <w:pPr>
        <w:tabs>
          <w:tab w:val="left" w:pos="851"/>
        </w:tabs>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За отчетния период няма промяна в информацията</w:t>
      </w:r>
      <w:r w:rsidR="00D01445">
        <w:rPr>
          <w:rFonts w:ascii="Times New Roman" w:eastAsia="Times New Roman" w:hAnsi="Times New Roman"/>
          <w:bCs/>
          <w:sz w:val="24"/>
          <w:szCs w:val="24"/>
          <w:bdr w:val="none" w:sz="0" w:space="0" w:color="auto" w:frame="1"/>
          <w:lang w:eastAsia="bg-BG"/>
        </w:rPr>
        <w:t>,</w:t>
      </w:r>
      <w:r>
        <w:rPr>
          <w:rFonts w:ascii="Times New Roman" w:eastAsia="Times New Roman" w:hAnsi="Times New Roman"/>
          <w:bCs/>
          <w:sz w:val="24"/>
          <w:szCs w:val="24"/>
          <w:bdr w:val="none" w:sz="0" w:space="0" w:color="auto" w:frame="1"/>
          <w:lang w:eastAsia="bg-BG"/>
        </w:rPr>
        <w:t xml:space="preserve"> представена в </w:t>
      </w:r>
      <w:r w:rsidRPr="00485E24">
        <w:rPr>
          <w:rFonts w:ascii="Times New Roman" w:eastAsia="Times New Roman" w:hAnsi="Times New Roman"/>
          <w:bCs/>
          <w:i/>
          <w:sz w:val="24"/>
          <w:szCs w:val="24"/>
          <w:bdr w:val="none" w:sz="0" w:space="0" w:color="auto" w:frame="1"/>
          <w:lang w:eastAsia="bg-BG"/>
        </w:rPr>
        <w:t>Отчет за изпълнение на мерките за периода 2019 – 2022г.</w:t>
      </w:r>
    </w:p>
    <w:p w14:paraId="25285C81" w14:textId="77777777" w:rsidR="00E23B44" w:rsidRDefault="00E23B44" w:rsidP="00E23B44">
      <w:pPr>
        <w:spacing w:after="0" w:line="240" w:lineRule="auto"/>
        <w:ind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974"/>
        <w:gridCol w:w="3886"/>
      </w:tblGrid>
      <w:tr w:rsidR="00E23B44" w:rsidRPr="009F0754" w14:paraId="0D390B25" w14:textId="77777777" w:rsidTr="00834D89">
        <w:tc>
          <w:tcPr>
            <w:tcW w:w="4320" w:type="dxa"/>
          </w:tcPr>
          <w:p w14:paraId="18717AEF" w14:textId="77777777" w:rsidR="00E23B44" w:rsidRPr="009F0754" w:rsidRDefault="00E23B44" w:rsidP="00834D89">
            <w:pPr>
              <w:spacing w:after="0" w:line="240" w:lineRule="auto"/>
              <w:ind w:left="-104"/>
              <w:jc w:val="both"/>
              <w:rPr>
                <w:rFonts w:ascii="Times New Roman" w:eastAsia="Times New Roman" w:hAnsi="Times New Roman"/>
                <w:bCs/>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Показател за изпълнение</w:t>
            </w:r>
            <w:r w:rsidRPr="009F0754">
              <w:rPr>
                <w:rFonts w:ascii="Times New Roman" w:eastAsia="Times New Roman" w:hAnsi="Times New Roman"/>
                <w:bCs/>
                <w:sz w:val="20"/>
                <w:szCs w:val="20"/>
                <w:bdr w:val="none" w:sz="0" w:space="0" w:color="auto" w:frame="1"/>
                <w:lang w:eastAsia="bg-BG"/>
              </w:rPr>
              <w:t xml:space="preserve"> </w:t>
            </w:r>
            <w:r w:rsidRPr="009F0754">
              <w:rPr>
                <w:rFonts w:ascii="Times New Roman" w:eastAsia="Times New Roman" w:hAnsi="Times New Roman"/>
                <w:bCs/>
                <w:i/>
                <w:sz w:val="20"/>
                <w:szCs w:val="20"/>
                <w:bdr w:val="none" w:sz="0" w:space="0" w:color="auto" w:frame="1"/>
                <w:lang w:eastAsia="bg-BG"/>
              </w:rPr>
              <w:t xml:space="preserve">определен в Приложение </w:t>
            </w:r>
            <w:r w:rsidRPr="009F0754">
              <w:rPr>
                <w:rFonts w:ascii="Times New Roman" w:eastAsia="Times New Roman" w:hAnsi="Times New Roman"/>
                <w:bCs/>
                <w:i/>
                <w:sz w:val="20"/>
                <w:szCs w:val="20"/>
                <w:bdr w:val="none" w:sz="0" w:space="0" w:color="auto" w:frame="1"/>
                <w:lang w:val="en-US" w:eastAsia="bg-BG"/>
              </w:rPr>
              <w:t xml:space="preserve">XIV – </w:t>
            </w:r>
            <w:r w:rsidRPr="009F0754">
              <w:rPr>
                <w:rFonts w:ascii="Times New Roman" w:eastAsia="Times New Roman" w:hAnsi="Times New Roman"/>
                <w:bCs/>
                <w:i/>
                <w:sz w:val="20"/>
                <w:szCs w:val="20"/>
                <w:bdr w:val="none" w:sz="0" w:space="0" w:color="auto" w:frame="1"/>
                <w:lang w:eastAsia="bg-BG"/>
              </w:rPr>
              <w:t>„План за действие“ към НППКАВ</w:t>
            </w:r>
            <w:r w:rsidRPr="009F0754">
              <w:rPr>
                <w:rFonts w:ascii="Times New Roman" w:eastAsia="Times New Roman" w:hAnsi="Times New Roman"/>
                <w:bCs/>
                <w:i/>
                <w:sz w:val="20"/>
                <w:szCs w:val="20"/>
                <w:bdr w:val="none" w:sz="0" w:space="0" w:color="auto" w:frame="1"/>
                <w:lang w:val="en-US" w:eastAsia="bg-BG"/>
              </w:rPr>
              <w:t>:</w:t>
            </w:r>
          </w:p>
        </w:tc>
        <w:tc>
          <w:tcPr>
            <w:tcW w:w="974" w:type="dxa"/>
          </w:tcPr>
          <w:p w14:paraId="5485F3E5" w14:textId="77777777" w:rsidR="00E23B44" w:rsidRPr="009F0754" w:rsidRDefault="00E23B44"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Целева стойност</w:t>
            </w:r>
          </w:p>
        </w:tc>
        <w:tc>
          <w:tcPr>
            <w:tcW w:w="3886" w:type="dxa"/>
          </w:tcPr>
          <w:p w14:paraId="31EA8690" w14:textId="77777777" w:rsidR="00E23B44" w:rsidRPr="009F0754" w:rsidRDefault="00E23B44"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Към 2023г.</w:t>
            </w:r>
          </w:p>
        </w:tc>
      </w:tr>
      <w:tr w:rsidR="00E23B44" w:rsidRPr="0092702E" w14:paraId="6E2314FD" w14:textId="77777777" w:rsidTr="00834D89">
        <w:tc>
          <w:tcPr>
            <w:tcW w:w="4320" w:type="dxa"/>
          </w:tcPr>
          <w:p w14:paraId="606D5332" w14:textId="57B67F4F" w:rsidR="00E23B44" w:rsidRPr="009F0754" w:rsidRDefault="00E23B44"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E23B44">
              <w:rPr>
                <w:rFonts w:ascii="Times New Roman" w:eastAsia="Times New Roman" w:hAnsi="Times New Roman"/>
                <w:bCs/>
                <w:sz w:val="20"/>
                <w:szCs w:val="20"/>
                <w:bdr w:val="none" w:sz="0" w:space="0" w:color="auto" w:frame="1"/>
                <w:lang w:eastAsia="bg-BG"/>
              </w:rPr>
              <w:t>Нов Закон за движение по пътищата и Закон за пътните превозни средства</w:t>
            </w:r>
          </w:p>
        </w:tc>
        <w:tc>
          <w:tcPr>
            <w:tcW w:w="974" w:type="dxa"/>
          </w:tcPr>
          <w:p w14:paraId="5D1D8D50" w14:textId="29A43C34" w:rsidR="00E23B44" w:rsidRPr="009F0754" w:rsidRDefault="00E23B44" w:rsidP="00E23B44">
            <w:pPr>
              <w:pStyle w:val="ListParagraph"/>
              <w:spacing w:after="0" w:line="240" w:lineRule="auto"/>
              <w:ind w:left="-108"/>
              <w:jc w:val="center"/>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2</w:t>
            </w:r>
          </w:p>
        </w:tc>
        <w:tc>
          <w:tcPr>
            <w:tcW w:w="3886" w:type="dxa"/>
          </w:tcPr>
          <w:p w14:paraId="75B4F946" w14:textId="5ED1D388" w:rsidR="001F7B03" w:rsidRPr="001F7B03" w:rsidRDefault="00A1798A" w:rsidP="001F7B03">
            <w:pPr>
              <w:pStyle w:val="ListParagraph"/>
              <w:numPr>
                <w:ilvl w:val="0"/>
                <w:numId w:val="15"/>
              </w:numPr>
              <w:spacing w:after="0" w:line="240" w:lineRule="auto"/>
              <w:ind w:left="-93" w:firstLine="0"/>
              <w:jc w:val="both"/>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 xml:space="preserve">Не са приети </w:t>
            </w:r>
            <w:r w:rsidR="001F7B03" w:rsidRPr="001F7B03">
              <w:rPr>
                <w:rFonts w:ascii="Times New Roman" w:eastAsia="Times New Roman" w:hAnsi="Times New Roman"/>
                <w:bCs/>
                <w:sz w:val="20"/>
                <w:szCs w:val="20"/>
                <w:bdr w:val="none" w:sz="0" w:space="0" w:color="auto" w:frame="1"/>
                <w:lang w:eastAsia="bg-BG"/>
              </w:rPr>
              <w:t>нов Закон за движението по</w:t>
            </w:r>
            <w:r w:rsidR="001F7B03">
              <w:rPr>
                <w:rFonts w:ascii="Times New Roman" w:eastAsia="Times New Roman" w:hAnsi="Times New Roman"/>
                <w:bCs/>
                <w:sz w:val="20"/>
                <w:szCs w:val="20"/>
                <w:bdr w:val="none" w:sz="0" w:space="0" w:color="auto" w:frame="1"/>
                <w:lang w:eastAsia="bg-BG"/>
              </w:rPr>
              <w:t xml:space="preserve"> </w:t>
            </w:r>
            <w:r w:rsidR="001F7B03" w:rsidRPr="001F7B03">
              <w:rPr>
                <w:rFonts w:ascii="Times New Roman" w:eastAsia="Times New Roman" w:hAnsi="Times New Roman"/>
                <w:bCs/>
                <w:sz w:val="20"/>
                <w:szCs w:val="20"/>
                <w:bdr w:val="none" w:sz="0" w:space="0" w:color="auto" w:frame="1"/>
                <w:lang w:eastAsia="bg-BG"/>
              </w:rPr>
              <w:t xml:space="preserve">пътищата и нов Закон за пътните превозни средства </w:t>
            </w:r>
          </w:p>
          <w:p w14:paraId="62BC5559" w14:textId="1C5B4D66" w:rsidR="00E23B44" w:rsidRPr="005D5FE0" w:rsidRDefault="001F7B03" w:rsidP="001F7B03">
            <w:pPr>
              <w:pStyle w:val="ListParagraph"/>
              <w:numPr>
                <w:ilvl w:val="0"/>
                <w:numId w:val="15"/>
              </w:numPr>
              <w:spacing w:after="0" w:line="240" w:lineRule="auto"/>
              <w:ind w:left="-93" w:firstLine="0"/>
              <w:jc w:val="both"/>
              <w:rPr>
                <w:rFonts w:ascii="Times New Roman" w:eastAsia="Times New Roman" w:hAnsi="Times New Roman"/>
                <w:bCs/>
                <w:sz w:val="20"/>
                <w:szCs w:val="20"/>
                <w:bdr w:val="none" w:sz="0" w:space="0" w:color="auto" w:frame="1"/>
                <w:lang w:val="en-US" w:eastAsia="bg-BG"/>
              </w:rPr>
            </w:pPr>
            <w:r w:rsidRPr="001F7B03">
              <w:rPr>
                <w:rFonts w:ascii="Times New Roman" w:eastAsia="Times New Roman" w:hAnsi="Times New Roman"/>
                <w:bCs/>
                <w:sz w:val="20"/>
                <w:szCs w:val="20"/>
                <w:bdr w:val="none" w:sz="0" w:space="0" w:color="auto" w:frame="1"/>
                <w:lang w:eastAsia="bg-BG"/>
              </w:rPr>
              <w:t>Приет е Закон за изменение и допълнение на Закона за движението по пътищата (ЗДвП, изм. и доп., ДВ, бр.97 от 5 декември 2017г.), в сила от 6 юни 2018г., с който е създадена възможност за обмен на данни между Министерството на вътрешните работи и Изпълнителна агенция "Автомобилна администрация" за регистрираните превозни средства и за периодичните им технически прегледи.</w:t>
            </w:r>
          </w:p>
        </w:tc>
      </w:tr>
    </w:tbl>
    <w:p w14:paraId="52E9300F" w14:textId="77777777" w:rsidR="00E23B44" w:rsidRDefault="00E23B44" w:rsidP="00E23B44">
      <w:pPr>
        <w:spacing w:after="0" w:line="240" w:lineRule="auto"/>
        <w:ind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990"/>
        <w:gridCol w:w="3960"/>
      </w:tblGrid>
      <w:tr w:rsidR="002C77EB" w:rsidRPr="00B01742" w14:paraId="42AF5954" w14:textId="77777777" w:rsidTr="002C77EB">
        <w:trPr>
          <w:trHeight w:val="583"/>
        </w:trPr>
        <w:tc>
          <w:tcPr>
            <w:tcW w:w="4230" w:type="dxa"/>
          </w:tcPr>
          <w:p w14:paraId="56E59CEB" w14:textId="77777777" w:rsidR="002C77EB" w:rsidRPr="00B01742" w:rsidRDefault="002C77EB" w:rsidP="002C77EB">
            <w:pPr>
              <w:spacing w:after="0" w:line="240" w:lineRule="auto"/>
              <w:ind w:left="-104"/>
              <w:jc w:val="both"/>
              <w:rPr>
                <w:rFonts w:ascii="Times New Roman" w:eastAsia="Times New Roman" w:hAnsi="Times New Roman"/>
                <w:bCs/>
                <w:sz w:val="20"/>
                <w:szCs w:val="20"/>
                <w:bdr w:val="none" w:sz="0" w:space="0" w:color="auto" w:frame="1"/>
                <w:lang w:eastAsia="bg-BG"/>
              </w:rPr>
            </w:pPr>
            <w:r w:rsidRPr="00B01742">
              <w:rPr>
                <w:rFonts w:ascii="Times New Roman" w:eastAsia="Times New Roman" w:hAnsi="Times New Roman"/>
                <w:bCs/>
                <w:i/>
                <w:sz w:val="20"/>
                <w:szCs w:val="20"/>
                <w:bdr w:val="none" w:sz="0" w:space="0" w:color="auto" w:frame="1"/>
                <w:lang w:eastAsia="bg-BG"/>
              </w:rPr>
              <w:t>Показател за резултат</w:t>
            </w:r>
            <w:r w:rsidRPr="00B01742">
              <w:rPr>
                <w:rFonts w:ascii="Times New Roman" w:eastAsia="Times New Roman" w:hAnsi="Times New Roman"/>
                <w:bCs/>
                <w:sz w:val="20"/>
                <w:szCs w:val="20"/>
                <w:bdr w:val="none" w:sz="0" w:space="0" w:color="auto" w:frame="1"/>
                <w:lang w:eastAsia="bg-BG"/>
              </w:rPr>
              <w:t xml:space="preserve"> </w:t>
            </w:r>
            <w:r w:rsidRPr="00B01742">
              <w:rPr>
                <w:rFonts w:ascii="Times New Roman" w:eastAsia="Times New Roman" w:hAnsi="Times New Roman"/>
                <w:bCs/>
                <w:i/>
                <w:sz w:val="20"/>
                <w:szCs w:val="20"/>
                <w:bdr w:val="none" w:sz="0" w:space="0" w:color="auto" w:frame="1"/>
                <w:lang w:eastAsia="bg-BG"/>
              </w:rPr>
              <w:t xml:space="preserve">определен в Приложение </w:t>
            </w:r>
            <w:r w:rsidRPr="00B01742">
              <w:rPr>
                <w:rFonts w:ascii="Times New Roman" w:eastAsia="Times New Roman" w:hAnsi="Times New Roman"/>
                <w:bCs/>
                <w:i/>
                <w:sz w:val="20"/>
                <w:szCs w:val="20"/>
                <w:bdr w:val="none" w:sz="0" w:space="0" w:color="auto" w:frame="1"/>
                <w:lang w:val="en-US" w:eastAsia="bg-BG"/>
              </w:rPr>
              <w:t xml:space="preserve">XIV – </w:t>
            </w:r>
            <w:r w:rsidRPr="00B01742">
              <w:rPr>
                <w:rFonts w:ascii="Times New Roman" w:eastAsia="Times New Roman" w:hAnsi="Times New Roman"/>
                <w:bCs/>
                <w:i/>
                <w:sz w:val="20"/>
                <w:szCs w:val="20"/>
                <w:bdr w:val="none" w:sz="0" w:space="0" w:color="auto" w:frame="1"/>
                <w:lang w:eastAsia="bg-BG"/>
              </w:rPr>
              <w:t>„План за действие“ към НППКАВ</w:t>
            </w:r>
            <w:r w:rsidRPr="00B01742">
              <w:rPr>
                <w:rFonts w:ascii="Times New Roman" w:eastAsia="Times New Roman" w:hAnsi="Times New Roman"/>
                <w:bCs/>
                <w:i/>
                <w:sz w:val="20"/>
                <w:szCs w:val="20"/>
                <w:bdr w:val="none" w:sz="0" w:space="0" w:color="auto" w:frame="1"/>
                <w:lang w:val="en-US" w:eastAsia="bg-BG"/>
              </w:rPr>
              <w:t>:</w:t>
            </w:r>
          </w:p>
        </w:tc>
        <w:tc>
          <w:tcPr>
            <w:tcW w:w="990" w:type="dxa"/>
          </w:tcPr>
          <w:p w14:paraId="040A711D" w14:textId="01856729" w:rsidR="002C77EB" w:rsidRDefault="002C77EB" w:rsidP="002C77EB">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Целева стойност</w:t>
            </w:r>
          </w:p>
        </w:tc>
        <w:tc>
          <w:tcPr>
            <w:tcW w:w="3960" w:type="dxa"/>
          </w:tcPr>
          <w:p w14:paraId="41C1CBAC" w14:textId="1183B02D" w:rsidR="002C77EB" w:rsidRPr="00B01742" w:rsidRDefault="002C77EB" w:rsidP="002C77EB">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Към</w:t>
            </w:r>
            <w:r w:rsidRPr="00B01742">
              <w:rPr>
                <w:rFonts w:ascii="Times New Roman" w:eastAsia="Times New Roman" w:hAnsi="Times New Roman"/>
                <w:bCs/>
                <w:i/>
                <w:sz w:val="20"/>
                <w:szCs w:val="20"/>
                <w:bdr w:val="none" w:sz="0" w:space="0" w:color="auto" w:frame="1"/>
                <w:lang w:eastAsia="bg-BG"/>
              </w:rPr>
              <w:t xml:space="preserve"> 2023г.</w:t>
            </w:r>
          </w:p>
        </w:tc>
      </w:tr>
      <w:tr w:rsidR="002C77EB" w:rsidRPr="0092702E" w14:paraId="13A2E001" w14:textId="77777777" w:rsidTr="002C77EB">
        <w:tc>
          <w:tcPr>
            <w:tcW w:w="4230" w:type="dxa"/>
          </w:tcPr>
          <w:p w14:paraId="5C02CF2B" w14:textId="068770F3" w:rsidR="002C77EB" w:rsidRPr="00B01742" w:rsidRDefault="002C77EB" w:rsidP="002C77EB">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E23B44">
              <w:rPr>
                <w:rFonts w:ascii="Times New Roman" w:eastAsia="Times New Roman" w:hAnsi="Times New Roman"/>
                <w:bCs/>
                <w:sz w:val="20"/>
                <w:szCs w:val="20"/>
                <w:bdr w:val="none" w:sz="0" w:space="0" w:color="auto" w:frame="1"/>
                <w:lang w:eastAsia="bg-BG"/>
              </w:rPr>
              <w:t>Подобрен контрол върху МПС</w:t>
            </w:r>
          </w:p>
        </w:tc>
        <w:tc>
          <w:tcPr>
            <w:tcW w:w="990" w:type="dxa"/>
          </w:tcPr>
          <w:p w14:paraId="27BD843D" w14:textId="79964C62" w:rsidR="002C77EB" w:rsidRDefault="002C77EB" w:rsidP="002C77EB">
            <w:pPr>
              <w:pStyle w:val="ListParagraph"/>
              <w:spacing w:after="0" w:line="240" w:lineRule="auto"/>
              <w:ind w:left="-108"/>
              <w:jc w:val="center"/>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w:t>
            </w:r>
          </w:p>
        </w:tc>
        <w:tc>
          <w:tcPr>
            <w:tcW w:w="3960" w:type="dxa"/>
          </w:tcPr>
          <w:p w14:paraId="72D294C9" w14:textId="1FA212F2" w:rsidR="002C77EB" w:rsidRPr="00B01742" w:rsidRDefault="002C77EB" w:rsidP="002C77EB">
            <w:pPr>
              <w:pStyle w:val="ListParagraph"/>
              <w:spacing w:after="0" w:line="240" w:lineRule="auto"/>
              <w:ind w:left="-108"/>
              <w:jc w:val="both"/>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В</w:t>
            </w:r>
            <w:r w:rsidRPr="001F7B03">
              <w:rPr>
                <w:rFonts w:ascii="Times New Roman" w:eastAsia="Times New Roman" w:hAnsi="Times New Roman"/>
                <w:bCs/>
                <w:sz w:val="20"/>
                <w:szCs w:val="20"/>
                <w:bdr w:val="none" w:sz="0" w:space="0" w:color="auto" w:frame="1"/>
                <w:lang w:eastAsia="bg-BG"/>
              </w:rPr>
              <w:t>ъздадена</w:t>
            </w:r>
            <w:r>
              <w:rPr>
                <w:rFonts w:ascii="Times New Roman" w:eastAsia="Times New Roman" w:hAnsi="Times New Roman"/>
                <w:bCs/>
                <w:sz w:val="20"/>
                <w:szCs w:val="20"/>
                <w:bdr w:val="none" w:sz="0" w:space="0" w:color="auto" w:frame="1"/>
                <w:lang w:eastAsia="bg-BG"/>
              </w:rPr>
              <w:t>та</w:t>
            </w:r>
            <w:r w:rsidRPr="001F7B03">
              <w:rPr>
                <w:rFonts w:ascii="Times New Roman" w:eastAsia="Times New Roman" w:hAnsi="Times New Roman"/>
                <w:bCs/>
                <w:sz w:val="20"/>
                <w:szCs w:val="20"/>
                <w:bdr w:val="none" w:sz="0" w:space="0" w:color="auto" w:frame="1"/>
                <w:lang w:eastAsia="bg-BG"/>
              </w:rPr>
              <w:t xml:space="preserve"> възможност за</w:t>
            </w:r>
            <w:r>
              <w:rPr>
                <w:rFonts w:ascii="Times New Roman" w:eastAsia="Times New Roman" w:hAnsi="Times New Roman"/>
                <w:bCs/>
                <w:sz w:val="20"/>
                <w:szCs w:val="20"/>
                <w:bdr w:val="none" w:sz="0" w:space="0" w:color="auto" w:frame="1"/>
                <w:lang w:eastAsia="bg-BG"/>
              </w:rPr>
              <w:t xml:space="preserve"> </w:t>
            </w:r>
            <w:r w:rsidRPr="001F7B03">
              <w:rPr>
                <w:rFonts w:ascii="Times New Roman" w:eastAsia="Times New Roman" w:hAnsi="Times New Roman"/>
                <w:bCs/>
                <w:sz w:val="20"/>
                <w:szCs w:val="20"/>
                <w:bdr w:val="none" w:sz="0" w:space="0" w:color="auto" w:frame="1"/>
                <w:lang w:eastAsia="bg-BG"/>
              </w:rPr>
              <w:t>обмен на данни между Министерството на вътрешните работи и Изпълнителна агенция</w:t>
            </w:r>
            <w:r>
              <w:rPr>
                <w:rFonts w:ascii="Times New Roman" w:eastAsia="Times New Roman" w:hAnsi="Times New Roman"/>
                <w:bCs/>
                <w:sz w:val="20"/>
                <w:szCs w:val="20"/>
                <w:bdr w:val="none" w:sz="0" w:space="0" w:color="auto" w:frame="1"/>
                <w:lang w:eastAsia="bg-BG"/>
              </w:rPr>
              <w:t xml:space="preserve"> </w:t>
            </w:r>
            <w:r w:rsidRPr="001F7B03">
              <w:rPr>
                <w:rFonts w:ascii="Times New Roman" w:eastAsia="Times New Roman" w:hAnsi="Times New Roman"/>
                <w:bCs/>
                <w:sz w:val="20"/>
                <w:szCs w:val="20"/>
                <w:bdr w:val="none" w:sz="0" w:space="0" w:color="auto" w:frame="1"/>
                <w:lang w:eastAsia="bg-BG"/>
              </w:rPr>
              <w:t>"Автомобилна администрация" за регистрираните превозни средства и за периодичните</w:t>
            </w:r>
            <w:r>
              <w:rPr>
                <w:rFonts w:ascii="Times New Roman" w:eastAsia="Times New Roman" w:hAnsi="Times New Roman"/>
                <w:bCs/>
                <w:sz w:val="20"/>
                <w:szCs w:val="20"/>
                <w:bdr w:val="none" w:sz="0" w:space="0" w:color="auto" w:frame="1"/>
                <w:lang w:eastAsia="bg-BG"/>
              </w:rPr>
              <w:t xml:space="preserve"> </w:t>
            </w:r>
            <w:r w:rsidRPr="001F7B03">
              <w:rPr>
                <w:rFonts w:ascii="Times New Roman" w:eastAsia="Times New Roman" w:hAnsi="Times New Roman"/>
                <w:bCs/>
                <w:sz w:val="20"/>
                <w:szCs w:val="20"/>
                <w:bdr w:val="none" w:sz="0" w:space="0" w:color="auto" w:frame="1"/>
                <w:lang w:eastAsia="bg-BG"/>
              </w:rPr>
              <w:t>им технически прегледи</w:t>
            </w:r>
            <w:r>
              <w:rPr>
                <w:rFonts w:ascii="Times New Roman" w:eastAsia="Times New Roman" w:hAnsi="Times New Roman"/>
                <w:bCs/>
                <w:sz w:val="20"/>
                <w:szCs w:val="20"/>
                <w:bdr w:val="none" w:sz="0" w:space="0" w:color="auto" w:frame="1"/>
                <w:lang w:eastAsia="bg-BG"/>
              </w:rPr>
              <w:t xml:space="preserve"> допринася за по-добър контрол върху МПС</w:t>
            </w:r>
            <w:r w:rsidRPr="001F7B03">
              <w:rPr>
                <w:rFonts w:ascii="Times New Roman" w:eastAsia="Times New Roman" w:hAnsi="Times New Roman"/>
                <w:bCs/>
                <w:sz w:val="20"/>
                <w:szCs w:val="20"/>
                <w:bdr w:val="none" w:sz="0" w:space="0" w:color="auto" w:frame="1"/>
                <w:lang w:eastAsia="bg-BG"/>
              </w:rPr>
              <w:t>.</w:t>
            </w:r>
          </w:p>
        </w:tc>
      </w:tr>
    </w:tbl>
    <w:p w14:paraId="35EF3167" w14:textId="77777777" w:rsidR="00E23B44" w:rsidRPr="00252B6B" w:rsidRDefault="00E23B44" w:rsidP="00506F4F">
      <w:pPr>
        <w:tabs>
          <w:tab w:val="left" w:pos="851"/>
        </w:tabs>
        <w:spacing w:after="0" w:line="240" w:lineRule="auto"/>
        <w:ind w:firstLine="1134"/>
        <w:jc w:val="both"/>
        <w:rPr>
          <w:rFonts w:ascii="Times New Roman" w:eastAsia="Times New Roman" w:hAnsi="Times New Roman"/>
          <w:bCs/>
          <w:sz w:val="24"/>
          <w:szCs w:val="24"/>
          <w:u w:val="single"/>
          <w:bdr w:val="none" w:sz="0" w:space="0" w:color="auto" w:frame="1"/>
          <w:lang w:eastAsia="bg-BG"/>
        </w:rPr>
      </w:pPr>
    </w:p>
    <w:p w14:paraId="10EC2C47" w14:textId="77777777" w:rsidR="00C3133B" w:rsidRDefault="00BE2B7D">
      <w:pPr>
        <w:spacing w:after="0" w:line="240" w:lineRule="auto"/>
        <w:jc w:val="both"/>
        <w:rPr>
          <w:rFonts w:ascii="Times New Roman" w:eastAsia="Times New Roman" w:hAnsi="Times New Roman"/>
          <w:b/>
          <w:bCs/>
          <w:sz w:val="24"/>
          <w:szCs w:val="24"/>
          <w:bdr w:val="none" w:sz="0" w:space="0" w:color="auto" w:frame="1"/>
          <w:lang w:eastAsia="bg-BG"/>
        </w:rPr>
      </w:pPr>
      <w:r w:rsidRPr="002A341B">
        <w:rPr>
          <w:rFonts w:ascii="Times New Roman" w:eastAsia="Times New Roman" w:hAnsi="Times New Roman"/>
          <w:b/>
          <w:bCs/>
          <w:i/>
          <w:sz w:val="24"/>
          <w:szCs w:val="24"/>
          <w:bdr w:val="none" w:sz="0" w:space="0" w:color="auto" w:frame="1"/>
          <w:lang w:eastAsia="bg-BG"/>
        </w:rPr>
        <w:t>Мярка</w:t>
      </w:r>
      <w:r w:rsidRPr="002A341B">
        <w:rPr>
          <w:rFonts w:ascii="Times New Roman" w:hAnsi="Times New Roman"/>
          <w:b/>
          <w:i/>
        </w:rPr>
        <w:t>:</w:t>
      </w:r>
      <w:r w:rsidR="001A7597" w:rsidRPr="002A341B">
        <w:rPr>
          <w:rFonts w:ascii="Times New Roman" w:eastAsia="Times New Roman" w:hAnsi="Times New Roman"/>
          <w:b/>
          <w:bCs/>
          <w:i/>
          <w:sz w:val="24"/>
          <w:szCs w:val="24"/>
          <w:bdr w:val="none" w:sz="0" w:space="0" w:color="auto" w:frame="1"/>
          <w:lang w:eastAsia="bg-BG"/>
        </w:rPr>
        <w:t xml:space="preserve"> </w:t>
      </w:r>
      <w:r w:rsidR="00C3133B" w:rsidRPr="002A341B">
        <w:rPr>
          <w:rFonts w:ascii="Times New Roman" w:eastAsia="Times New Roman" w:hAnsi="Times New Roman"/>
          <w:b/>
          <w:bCs/>
          <w:sz w:val="24"/>
          <w:szCs w:val="24"/>
          <w:bdr w:val="none" w:sz="0" w:space="0" w:color="auto" w:frame="1"/>
          <w:lang w:eastAsia="bg-BG"/>
        </w:rPr>
        <w:t>Подобряване на годишните технически прегледи</w:t>
      </w:r>
    </w:p>
    <w:p w14:paraId="10846F67" w14:textId="77777777" w:rsidR="00BA79FB" w:rsidRDefault="00BA79FB" w:rsidP="00DB728D">
      <w:pPr>
        <w:spacing w:after="0" w:line="240" w:lineRule="auto"/>
        <w:ind w:firstLine="1170"/>
        <w:jc w:val="both"/>
        <w:rPr>
          <w:rFonts w:ascii="Times New Roman" w:eastAsia="Times New Roman" w:hAnsi="Times New Roman"/>
          <w:bCs/>
          <w:sz w:val="24"/>
          <w:szCs w:val="24"/>
          <w:bdr w:val="none" w:sz="0" w:space="0" w:color="auto" w:frame="1"/>
          <w:lang w:eastAsia="bg-BG"/>
        </w:rPr>
      </w:pPr>
    </w:p>
    <w:p w14:paraId="3D09F74F" w14:textId="514649A7" w:rsidR="00DB728D" w:rsidRPr="00DB728D" w:rsidRDefault="00DB728D" w:rsidP="00DB728D">
      <w:pPr>
        <w:spacing w:after="0" w:line="240" w:lineRule="auto"/>
        <w:ind w:firstLine="1170"/>
        <w:jc w:val="both"/>
        <w:rPr>
          <w:rFonts w:ascii="Times New Roman" w:eastAsia="Times New Roman" w:hAnsi="Times New Roman"/>
          <w:bCs/>
          <w:sz w:val="24"/>
          <w:szCs w:val="24"/>
          <w:bdr w:val="none" w:sz="0" w:space="0" w:color="auto" w:frame="1"/>
          <w:lang w:eastAsia="bg-BG"/>
        </w:rPr>
      </w:pPr>
      <w:r w:rsidRPr="00DB728D">
        <w:rPr>
          <w:rFonts w:ascii="Times New Roman" w:eastAsia="Times New Roman" w:hAnsi="Times New Roman"/>
          <w:bCs/>
          <w:sz w:val="24"/>
          <w:szCs w:val="24"/>
          <w:bdr w:val="none" w:sz="0" w:space="0" w:color="auto" w:frame="1"/>
          <w:lang w:eastAsia="bg-BG"/>
        </w:rPr>
        <w:t>В процес на изпълнение.</w:t>
      </w:r>
    </w:p>
    <w:p w14:paraId="0E5D2326" w14:textId="5329F419" w:rsidR="003B453C" w:rsidRDefault="0077714B" w:rsidP="00B16A97">
      <w:pPr>
        <w:spacing w:after="0" w:line="240" w:lineRule="auto"/>
        <w:ind w:firstLine="1170"/>
        <w:jc w:val="both"/>
        <w:rPr>
          <w:rFonts w:ascii="Times New Roman" w:eastAsia="Times New Roman" w:hAnsi="Times New Roman"/>
          <w:sz w:val="24"/>
          <w:szCs w:val="24"/>
          <w:lang w:eastAsia="bg-BG"/>
        </w:rPr>
      </w:pPr>
      <w:r>
        <w:rPr>
          <w:rFonts w:ascii="Times New Roman" w:eastAsia="Times New Roman" w:hAnsi="Times New Roman"/>
          <w:bCs/>
          <w:sz w:val="24"/>
          <w:szCs w:val="24"/>
          <w:bdr w:val="none" w:sz="0" w:space="0" w:color="auto" w:frame="1"/>
          <w:lang w:eastAsia="bg-BG"/>
        </w:rPr>
        <w:lastRenderedPageBreak/>
        <w:t xml:space="preserve">През 2023г. е обнародвана (ДВ, бр. 88/2023г.) </w:t>
      </w:r>
      <w:r w:rsidR="00BE2B7D" w:rsidRPr="006F0B09">
        <w:rPr>
          <w:rFonts w:ascii="Times New Roman" w:eastAsia="Times New Roman" w:hAnsi="Times New Roman"/>
          <w:bCs/>
          <w:sz w:val="24"/>
          <w:szCs w:val="24"/>
          <w:bdr w:val="none" w:sz="0" w:space="0" w:color="auto" w:frame="1"/>
          <w:lang w:eastAsia="bg-BG"/>
        </w:rPr>
        <w:t xml:space="preserve">Наредба за изменение и допълнение на </w:t>
      </w:r>
      <w:r w:rsidR="00BE2B7D" w:rsidRPr="009D3D46">
        <w:rPr>
          <w:rFonts w:ascii="Times New Roman" w:eastAsia="Times New Roman" w:hAnsi="Times New Roman"/>
          <w:bCs/>
          <w:i/>
          <w:sz w:val="24"/>
          <w:szCs w:val="24"/>
          <w:bdr w:val="none" w:sz="0" w:space="0" w:color="auto" w:frame="1"/>
          <w:lang w:eastAsia="bg-BG"/>
        </w:rPr>
        <w:t>Наредба №</w:t>
      </w:r>
      <w:r w:rsidR="00560A3C" w:rsidRPr="009D3D46">
        <w:rPr>
          <w:rFonts w:ascii="Times New Roman" w:eastAsia="Times New Roman" w:hAnsi="Times New Roman"/>
          <w:bCs/>
          <w:i/>
          <w:sz w:val="24"/>
          <w:szCs w:val="24"/>
          <w:bdr w:val="none" w:sz="0" w:space="0" w:color="auto" w:frame="1"/>
          <w:lang w:eastAsia="bg-BG"/>
        </w:rPr>
        <w:t xml:space="preserve"> </w:t>
      </w:r>
      <w:r w:rsidR="00BE2B7D" w:rsidRPr="009D3D46">
        <w:rPr>
          <w:rFonts w:ascii="Times New Roman" w:eastAsia="Times New Roman" w:hAnsi="Times New Roman"/>
          <w:bCs/>
          <w:i/>
          <w:sz w:val="24"/>
          <w:szCs w:val="24"/>
          <w:bdr w:val="none" w:sz="0" w:space="0" w:color="auto" w:frame="1"/>
          <w:lang w:eastAsia="bg-BG"/>
        </w:rPr>
        <w:t>Н-32 от 16 декември 2011г. за периодичните прегледи за проверка на техническата изправност на пътните превозни средства</w:t>
      </w:r>
      <w:r>
        <w:rPr>
          <w:rFonts w:ascii="Times New Roman" w:eastAsia="Times New Roman" w:hAnsi="Times New Roman"/>
          <w:bCs/>
          <w:sz w:val="24"/>
          <w:szCs w:val="24"/>
          <w:bdr w:val="none" w:sz="0" w:space="0" w:color="auto" w:frame="1"/>
          <w:lang w:eastAsia="bg-BG"/>
        </w:rPr>
        <w:t xml:space="preserve">. </w:t>
      </w:r>
      <w:r w:rsidR="00141D0E" w:rsidRPr="00141D0E">
        <w:rPr>
          <w:rFonts w:ascii="Times New Roman" w:eastAsia="Times New Roman" w:hAnsi="Times New Roman"/>
          <w:sz w:val="24"/>
          <w:szCs w:val="24"/>
          <w:lang w:eastAsia="bg-BG"/>
        </w:rPr>
        <w:t xml:space="preserve">С цитираната наредба са осигурени мерки на национално ниво за прилагането на </w:t>
      </w:r>
      <w:r w:rsidR="00141D0E" w:rsidRPr="005522E2">
        <w:rPr>
          <w:rFonts w:ascii="Times New Roman" w:eastAsia="Times New Roman" w:hAnsi="Times New Roman"/>
          <w:i/>
          <w:sz w:val="24"/>
          <w:szCs w:val="24"/>
          <w:lang w:eastAsia="bg-BG"/>
        </w:rPr>
        <w:t xml:space="preserve">Регламент за изпълнение (ЕС) 2019/621 на Комисията от 17 април 2019г. относно техническата информация, необходима във връзка с проверката на техническата изправност на подлежащите на проверка елементи, относно използването на препоръчителните методи за проверка, както и за установяване на подробни правила относно формата на данните и процедурите за достъп до </w:t>
      </w:r>
      <w:proofErr w:type="spellStart"/>
      <w:r w:rsidR="00141D0E" w:rsidRPr="005522E2">
        <w:rPr>
          <w:rFonts w:ascii="Times New Roman" w:eastAsia="Times New Roman" w:hAnsi="Times New Roman"/>
          <w:i/>
          <w:sz w:val="24"/>
          <w:szCs w:val="24"/>
          <w:lang w:eastAsia="bg-BG"/>
        </w:rPr>
        <w:t>относимата</w:t>
      </w:r>
      <w:proofErr w:type="spellEnd"/>
      <w:r w:rsidR="00141D0E" w:rsidRPr="005522E2">
        <w:rPr>
          <w:rFonts w:ascii="Times New Roman" w:eastAsia="Times New Roman" w:hAnsi="Times New Roman"/>
          <w:i/>
          <w:sz w:val="24"/>
          <w:szCs w:val="24"/>
          <w:lang w:eastAsia="bg-BG"/>
        </w:rPr>
        <w:t xml:space="preserve"> техническа информация (Регламент за изпълнение (ЕС) 2019/621)</w:t>
      </w:r>
      <w:r w:rsidR="00141D0E" w:rsidRPr="00141D0E">
        <w:rPr>
          <w:rFonts w:ascii="Times New Roman" w:eastAsia="Times New Roman" w:hAnsi="Times New Roman"/>
          <w:sz w:val="24"/>
          <w:szCs w:val="24"/>
          <w:lang w:eastAsia="bg-BG"/>
        </w:rPr>
        <w:t xml:space="preserve">. Създадени са условия и ред за предоставяне на техническата информация, необходима за извършване на периодичните прегледи за проверка на техническата изправност на </w:t>
      </w:r>
      <w:r w:rsidR="00841F79">
        <w:rPr>
          <w:rFonts w:ascii="Times New Roman" w:eastAsia="Times New Roman" w:hAnsi="Times New Roman"/>
          <w:sz w:val="24"/>
          <w:szCs w:val="24"/>
          <w:lang w:eastAsia="bg-BG"/>
        </w:rPr>
        <w:t>пътни превозни средства (</w:t>
      </w:r>
      <w:r w:rsidR="00141D0E" w:rsidRPr="00141D0E">
        <w:rPr>
          <w:rFonts w:ascii="Times New Roman" w:eastAsia="Times New Roman" w:hAnsi="Times New Roman"/>
          <w:sz w:val="24"/>
          <w:szCs w:val="24"/>
          <w:lang w:eastAsia="bg-BG"/>
        </w:rPr>
        <w:t>ППС</w:t>
      </w:r>
      <w:r w:rsidR="00841F79">
        <w:rPr>
          <w:rFonts w:ascii="Times New Roman" w:eastAsia="Times New Roman" w:hAnsi="Times New Roman"/>
          <w:sz w:val="24"/>
          <w:szCs w:val="24"/>
          <w:lang w:eastAsia="bg-BG"/>
        </w:rPr>
        <w:t>)</w:t>
      </w:r>
      <w:r w:rsidR="00141D0E" w:rsidRPr="00141D0E">
        <w:rPr>
          <w:rFonts w:ascii="Times New Roman" w:eastAsia="Times New Roman" w:hAnsi="Times New Roman"/>
          <w:sz w:val="24"/>
          <w:szCs w:val="24"/>
          <w:lang w:eastAsia="bg-BG"/>
        </w:rPr>
        <w:t>. Предвидено е производителят на ППС или упълномощен от него представител да предоставя техническата информация, определена в приложението на Регламент за изпълнение (ЕС) 2019/621, на Изпълнителна агенция „Автомобилна администрация“, а агенцията да предоставя на контролно-техническите пунктове достъп до тази информация чрез информационната система за електронно регистриране на извършените периодични прегледи за проверка на техническата изправност на ППС (информационната система). Изискването за предоставяне на техническата информацията на контр</w:t>
      </w:r>
      <w:r w:rsidR="00083C1F">
        <w:rPr>
          <w:rFonts w:ascii="Times New Roman" w:eastAsia="Times New Roman" w:hAnsi="Times New Roman"/>
          <w:sz w:val="24"/>
          <w:szCs w:val="24"/>
          <w:lang w:eastAsia="bg-BG"/>
        </w:rPr>
        <w:t>олно-техническите пунктове е</w:t>
      </w:r>
      <w:r w:rsidR="00141D0E" w:rsidRPr="00141D0E">
        <w:rPr>
          <w:rFonts w:ascii="Times New Roman" w:eastAsia="Times New Roman" w:hAnsi="Times New Roman"/>
          <w:sz w:val="24"/>
          <w:szCs w:val="24"/>
          <w:lang w:eastAsia="bg-BG"/>
        </w:rPr>
        <w:t xml:space="preserve"> в сила </w:t>
      </w:r>
      <w:r w:rsidR="00083C1F">
        <w:rPr>
          <w:rFonts w:ascii="Times New Roman" w:eastAsia="Times New Roman" w:hAnsi="Times New Roman"/>
          <w:sz w:val="24"/>
          <w:szCs w:val="24"/>
          <w:lang w:eastAsia="bg-BG"/>
        </w:rPr>
        <w:t>от</w:t>
      </w:r>
      <w:r w:rsidR="00141D0E" w:rsidRPr="00141D0E">
        <w:rPr>
          <w:rFonts w:ascii="Times New Roman" w:eastAsia="Times New Roman" w:hAnsi="Times New Roman"/>
          <w:sz w:val="24"/>
          <w:szCs w:val="24"/>
          <w:lang w:eastAsia="bg-BG"/>
        </w:rPr>
        <w:t xml:space="preserve"> 20.04.2024г. </w:t>
      </w:r>
    </w:p>
    <w:p w14:paraId="6554B97E" w14:textId="39E8751B" w:rsidR="007D35F8" w:rsidRPr="005F71F4" w:rsidRDefault="00141D0E" w:rsidP="00B94625">
      <w:pPr>
        <w:spacing w:after="0" w:line="240" w:lineRule="auto"/>
        <w:ind w:firstLine="1080"/>
        <w:jc w:val="both"/>
        <w:rPr>
          <w:rFonts w:ascii="Times New Roman" w:eastAsia="Times New Roman" w:hAnsi="Times New Roman"/>
          <w:bCs/>
          <w:sz w:val="24"/>
          <w:szCs w:val="24"/>
          <w:bdr w:val="none" w:sz="0" w:space="0" w:color="auto" w:frame="1"/>
          <w:lang w:eastAsia="bg-BG"/>
        </w:rPr>
      </w:pPr>
      <w:r w:rsidRPr="00141D0E">
        <w:rPr>
          <w:rFonts w:ascii="Times New Roman" w:eastAsia="Times New Roman" w:hAnsi="Times New Roman"/>
          <w:sz w:val="24"/>
          <w:szCs w:val="24"/>
          <w:lang w:eastAsia="bg-BG"/>
        </w:rPr>
        <w:t>С направената промяна в подзаконовия нормативен акт е създадена възможност по време на периодичния преглед за проверка на техническата изправност на моторните превозни средства техническият специалист, извършващ проверката, да има достъп до техническа информация във връзка с подлежащите на проверка елементи, в конкретния случай: общо описание на системата за контрол на емисиите, монтирана на моторното превозно средство; монтирани ли са на превозното средств</w:t>
      </w:r>
      <w:r w:rsidR="00D01445">
        <w:rPr>
          <w:rFonts w:ascii="Times New Roman" w:eastAsia="Times New Roman" w:hAnsi="Times New Roman"/>
          <w:sz w:val="24"/>
          <w:szCs w:val="24"/>
          <w:lang w:eastAsia="bg-BG"/>
        </w:rPr>
        <w:t>о,</w:t>
      </w:r>
      <w:r w:rsidRPr="00141D0E">
        <w:rPr>
          <w:rFonts w:ascii="Times New Roman" w:eastAsia="Times New Roman" w:hAnsi="Times New Roman"/>
          <w:sz w:val="24"/>
          <w:szCs w:val="24"/>
          <w:lang w:eastAsia="bg-BG"/>
        </w:rPr>
        <w:t xml:space="preserve"> или не катализатор и филтър за </w:t>
      </w:r>
      <w:proofErr w:type="spellStart"/>
      <w:r w:rsidRPr="00141D0E">
        <w:rPr>
          <w:rFonts w:ascii="Times New Roman" w:eastAsia="Times New Roman" w:hAnsi="Times New Roman"/>
          <w:sz w:val="24"/>
          <w:szCs w:val="24"/>
          <w:lang w:eastAsia="bg-BG"/>
        </w:rPr>
        <w:t>прахови</w:t>
      </w:r>
      <w:proofErr w:type="spellEnd"/>
      <w:r w:rsidRPr="00141D0E">
        <w:rPr>
          <w:rFonts w:ascii="Times New Roman" w:eastAsia="Times New Roman" w:hAnsi="Times New Roman"/>
          <w:sz w:val="24"/>
          <w:szCs w:val="24"/>
          <w:lang w:eastAsia="bg-BG"/>
        </w:rPr>
        <w:t xml:space="preserve"> частици и др. В случай</w:t>
      </w:r>
      <w:r w:rsidR="000C18EB">
        <w:rPr>
          <w:rFonts w:ascii="Times New Roman" w:eastAsia="Times New Roman" w:hAnsi="Times New Roman"/>
          <w:sz w:val="24"/>
          <w:szCs w:val="24"/>
          <w:lang w:eastAsia="bg-BG"/>
        </w:rPr>
        <w:t>,</w:t>
      </w:r>
      <w:r w:rsidRPr="00141D0E">
        <w:rPr>
          <w:rFonts w:ascii="Times New Roman" w:eastAsia="Times New Roman" w:hAnsi="Times New Roman"/>
          <w:sz w:val="24"/>
          <w:szCs w:val="24"/>
          <w:lang w:eastAsia="bg-BG"/>
        </w:rPr>
        <w:t xml:space="preserve"> че на моторното превозно средство е монтиран съответния елемент, същия</w:t>
      </w:r>
      <w:r w:rsidR="00D01445">
        <w:rPr>
          <w:rFonts w:ascii="Times New Roman" w:eastAsia="Times New Roman" w:hAnsi="Times New Roman"/>
          <w:sz w:val="24"/>
          <w:szCs w:val="24"/>
          <w:lang w:eastAsia="bg-BG"/>
        </w:rPr>
        <w:t>т</w:t>
      </w:r>
      <w:r w:rsidRPr="00141D0E">
        <w:rPr>
          <w:rFonts w:ascii="Times New Roman" w:eastAsia="Times New Roman" w:hAnsi="Times New Roman"/>
          <w:sz w:val="24"/>
          <w:szCs w:val="24"/>
          <w:lang w:eastAsia="bg-BG"/>
        </w:rPr>
        <w:t xml:space="preserve"> следва да бъде проверен за наличие и за ефективно функциониране. Когато е установена липса на катализатор или филтър за </w:t>
      </w:r>
      <w:proofErr w:type="spellStart"/>
      <w:r w:rsidRPr="00141D0E">
        <w:rPr>
          <w:rFonts w:ascii="Times New Roman" w:eastAsia="Times New Roman" w:hAnsi="Times New Roman"/>
          <w:sz w:val="24"/>
          <w:szCs w:val="24"/>
          <w:lang w:eastAsia="bg-BG"/>
        </w:rPr>
        <w:t>прахови</w:t>
      </w:r>
      <w:proofErr w:type="spellEnd"/>
      <w:r w:rsidRPr="00141D0E">
        <w:rPr>
          <w:rFonts w:ascii="Times New Roman" w:eastAsia="Times New Roman" w:hAnsi="Times New Roman"/>
          <w:sz w:val="24"/>
          <w:szCs w:val="24"/>
          <w:lang w:eastAsia="bg-BG"/>
        </w:rPr>
        <w:t xml:space="preserve"> частици</w:t>
      </w:r>
      <w:r w:rsidR="00D01445">
        <w:rPr>
          <w:rFonts w:ascii="Times New Roman" w:eastAsia="Times New Roman" w:hAnsi="Times New Roman"/>
          <w:sz w:val="24"/>
          <w:szCs w:val="24"/>
          <w:lang w:eastAsia="bg-BG"/>
        </w:rPr>
        <w:t>,</w:t>
      </w:r>
      <w:r w:rsidRPr="00141D0E">
        <w:rPr>
          <w:rFonts w:ascii="Times New Roman" w:eastAsia="Times New Roman" w:hAnsi="Times New Roman"/>
          <w:sz w:val="24"/>
          <w:szCs w:val="24"/>
          <w:lang w:eastAsia="bg-BG"/>
        </w:rPr>
        <w:t xml:space="preserve"> се </w:t>
      </w:r>
      <w:r w:rsidRPr="002E7FD6">
        <w:rPr>
          <w:rFonts w:ascii="Times New Roman" w:eastAsia="Times New Roman" w:hAnsi="Times New Roman"/>
          <w:sz w:val="24"/>
          <w:szCs w:val="24"/>
          <w:lang w:eastAsia="bg-BG"/>
        </w:rPr>
        <w:t xml:space="preserve">констатира опасна техническа </w:t>
      </w:r>
      <w:r w:rsidR="002E7FD6" w:rsidRPr="002E7FD6">
        <w:rPr>
          <w:rFonts w:ascii="Times New Roman" w:eastAsia="Times New Roman" w:hAnsi="Times New Roman"/>
          <w:sz w:val="24"/>
          <w:szCs w:val="24"/>
          <w:lang w:eastAsia="bg-BG"/>
        </w:rPr>
        <w:t>не</w:t>
      </w:r>
      <w:r w:rsidRPr="002E7FD6">
        <w:rPr>
          <w:rFonts w:ascii="Times New Roman" w:eastAsia="Times New Roman" w:hAnsi="Times New Roman"/>
          <w:sz w:val="24"/>
          <w:szCs w:val="24"/>
          <w:lang w:eastAsia="bg-BG"/>
        </w:rPr>
        <w:t>изправност, сл</w:t>
      </w:r>
      <w:r w:rsidRPr="00141D0E">
        <w:rPr>
          <w:rFonts w:ascii="Times New Roman" w:eastAsia="Times New Roman" w:hAnsi="Times New Roman"/>
          <w:sz w:val="24"/>
          <w:szCs w:val="24"/>
          <w:lang w:eastAsia="bg-BG"/>
        </w:rPr>
        <w:t xml:space="preserve">ед което следва служебна </w:t>
      </w:r>
      <w:proofErr w:type="spellStart"/>
      <w:r w:rsidRPr="00141D0E">
        <w:rPr>
          <w:rFonts w:ascii="Times New Roman" w:eastAsia="Times New Roman" w:hAnsi="Times New Roman"/>
          <w:sz w:val="24"/>
          <w:szCs w:val="24"/>
          <w:lang w:eastAsia="bg-BG"/>
        </w:rPr>
        <w:t>дерегистрация</w:t>
      </w:r>
      <w:proofErr w:type="spellEnd"/>
      <w:r w:rsidRPr="00141D0E">
        <w:rPr>
          <w:rFonts w:ascii="Times New Roman" w:eastAsia="Times New Roman" w:hAnsi="Times New Roman"/>
          <w:sz w:val="24"/>
          <w:szCs w:val="24"/>
          <w:lang w:eastAsia="bg-BG"/>
        </w:rPr>
        <w:t xml:space="preserve"> на моторното превозно средство. Впоследствие превозното средство се допуска до движение по пътищата след отстраняване на несъответствието от страна на собственика и повторно преминаване на периодичен технически преглед, където това да бъде удостоверено.</w:t>
      </w:r>
      <w:r w:rsidR="00083C1F">
        <w:rPr>
          <w:rFonts w:ascii="Times New Roman" w:eastAsia="Times New Roman" w:hAnsi="Times New Roman"/>
          <w:sz w:val="24"/>
          <w:szCs w:val="24"/>
          <w:lang w:eastAsia="bg-BG"/>
        </w:rPr>
        <w:t xml:space="preserve"> </w:t>
      </w:r>
      <w:r w:rsidRPr="00141D0E">
        <w:rPr>
          <w:rFonts w:ascii="Times New Roman" w:eastAsia="Times New Roman" w:hAnsi="Times New Roman"/>
          <w:sz w:val="24"/>
          <w:szCs w:val="24"/>
          <w:lang w:eastAsia="bg-BG"/>
        </w:rPr>
        <w:t xml:space="preserve">По този начин се очаква извършването на периодичния преглед за проверка на техническата изправност на ППС да стане по-ефективно, тъй като ще бъде улеснено установяването на премахнати от страна на собствениците катализатори и филтри за </w:t>
      </w:r>
      <w:proofErr w:type="spellStart"/>
      <w:r w:rsidRPr="00141D0E">
        <w:rPr>
          <w:rFonts w:ascii="Times New Roman" w:eastAsia="Times New Roman" w:hAnsi="Times New Roman"/>
          <w:sz w:val="24"/>
          <w:szCs w:val="24"/>
          <w:lang w:eastAsia="bg-BG"/>
        </w:rPr>
        <w:t>прахови</w:t>
      </w:r>
      <w:proofErr w:type="spellEnd"/>
      <w:r w:rsidRPr="00141D0E">
        <w:rPr>
          <w:rFonts w:ascii="Times New Roman" w:eastAsia="Times New Roman" w:hAnsi="Times New Roman"/>
          <w:sz w:val="24"/>
          <w:szCs w:val="24"/>
          <w:lang w:eastAsia="bg-BG"/>
        </w:rPr>
        <w:t xml:space="preserve"> частици, монтирани на по-модерните дизелови автомобили от екологична категория </w:t>
      </w:r>
      <w:proofErr w:type="spellStart"/>
      <w:r w:rsidRPr="00141D0E">
        <w:rPr>
          <w:rFonts w:ascii="Times New Roman" w:eastAsia="Times New Roman" w:hAnsi="Times New Roman"/>
          <w:sz w:val="24"/>
          <w:szCs w:val="24"/>
          <w:lang w:eastAsia="bg-BG"/>
        </w:rPr>
        <w:t>Euro</w:t>
      </w:r>
      <w:proofErr w:type="spellEnd"/>
      <w:r w:rsidRPr="00141D0E">
        <w:rPr>
          <w:rFonts w:ascii="Times New Roman" w:eastAsia="Times New Roman" w:hAnsi="Times New Roman"/>
          <w:sz w:val="24"/>
          <w:szCs w:val="24"/>
          <w:lang w:eastAsia="bg-BG"/>
        </w:rPr>
        <w:t xml:space="preserve"> 5 и </w:t>
      </w:r>
      <w:proofErr w:type="spellStart"/>
      <w:r w:rsidRPr="00141D0E">
        <w:rPr>
          <w:rFonts w:ascii="Times New Roman" w:eastAsia="Times New Roman" w:hAnsi="Times New Roman"/>
          <w:sz w:val="24"/>
          <w:szCs w:val="24"/>
          <w:lang w:eastAsia="bg-BG"/>
        </w:rPr>
        <w:t>Euro</w:t>
      </w:r>
      <w:proofErr w:type="spellEnd"/>
      <w:r w:rsidRPr="00141D0E">
        <w:rPr>
          <w:rFonts w:ascii="Times New Roman" w:eastAsia="Times New Roman" w:hAnsi="Times New Roman"/>
          <w:sz w:val="24"/>
          <w:szCs w:val="24"/>
          <w:lang w:eastAsia="bg-BG"/>
        </w:rPr>
        <w:t xml:space="preserve"> 6. От друга страна, по-ефективната проверка на този елемент по време на периодичния технически преглед ще доведе до допускане за движение по пътищата на превозни средства, които имат контролирано замърсяване на околната среда с емисии на ФПЧ</w:t>
      </w:r>
      <w:r w:rsidRPr="009C0A84">
        <w:rPr>
          <w:rFonts w:ascii="Times New Roman" w:eastAsia="Times New Roman" w:hAnsi="Times New Roman"/>
          <w:sz w:val="24"/>
          <w:szCs w:val="24"/>
          <w:vertAlign w:val="subscript"/>
          <w:lang w:eastAsia="bg-BG"/>
        </w:rPr>
        <w:t>10</w:t>
      </w:r>
      <w:r w:rsidRPr="00141D0E">
        <w:rPr>
          <w:rFonts w:ascii="Times New Roman" w:eastAsia="Times New Roman" w:hAnsi="Times New Roman"/>
          <w:sz w:val="24"/>
          <w:szCs w:val="24"/>
          <w:lang w:eastAsia="bg-BG"/>
        </w:rPr>
        <w:t>.</w:t>
      </w:r>
    </w:p>
    <w:p w14:paraId="11C0548E" w14:textId="72F9A041" w:rsidR="00BE2B7D" w:rsidRDefault="004C497B" w:rsidP="00506F4F">
      <w:pPr>
        <w:pStyle w:val="ListParagraph"/>
        <w:spacing w:after="0" w:line="240" w:lineRule="auto"/>
        <w:ind w:left="0" w:firstLine="1134"/>
        <w:jc w:val="both"/>
        <w:rPr>
          <w:rFonts w:ascii="Times New Roman" w:eastAsia="Times New Roman" w:hAnsi="Times New Roman"/>
          <w:bCs/>
          <w:sz w:val="24"/>
          <w:szCs w:val="24"/>
          <w:bdr w:val="none" w:sz="0" w:space="0" w:color="auto" w:frame="1"/>
          <w:lang w:eastAsia="bg-BG"/>
        </w:rPr>
      </w:pPr>
      <w:r w:rsidRPr="004C497B">
        <w:rPr>
          <w:rFonts w:ascii="Times New Roman" w:eastAsia="Times New Roman" w:hAnsi="Times New Roman"/>
          <w:bCs/>
          <w:sz w:val="24"/>
          <w:szCs w:val="24"/>
          <w:bdr w:val="none" w:sz="0" w:space="0" w:color="auto" w:frame="1"/>
          <w:lang w:eastAsia="bg-BG"/>
        </w:rPr>
        <w:t>Относно определянето на екологичната група на моторните превозни средства от категории М1 и N1, с промените през 2023г. се допълват и прецизират условията за определяне на леките и лекотоварните превозни средства в екологични групи за целите на въвеждането на зони с ниски емисии в големите градове в страната. Предвидено е моторните превозни средства, за които от датата на първата им регистрация</w:t>
      </w:r>
      <w:r w:rsidR="00D01445">
        <w:rPr>
          <w:rFonts w:ascii="Times New Roman" w:eastAsia="Times New Roman" w:hAnsi="Times New Roman"/>
          <w:bCs/>
          <w:sz w:val="24"/>
          <w:szCs w:val="24"/>
          <w:bdr w:val="none" w:sz="0" w:space="0" w:color="auto" w:frame="1"/>
          <w:lang w:eastAsia="bg-BG"/>
        </w:rPr>
        <w:t xml:space="preserve"> </w:t>
      </w:r>
      <w:r w:rsidRPr="004C497B">
        <w:rPr>
          <w:rFonts w:ascii="Times New Roman" w:eastAsia="Times New Roman" w:hAnsi="Times New Roman"/>
          <w:bCs/>
          <w:sz w:val="24"/>
          <w:szCs w:val="24"/>
          <w:bdr w:val="none" w:sz="0" w:space="0" w:color="auto" w:frame="1"/>
          <w:lang w:eastAsia="bg-BG"/>
        </w:rPr>
        <w:t>не са изминали повече от три години, в зависимост от вида на задвижването им да се определят във възможно най-високата екологична група, без да се измерва съдържанието на емисиите в отработените газове, както и моторните превозни средства с двигатели с принудително възпламеняване на работната смес, които фабрично не са оборудвани със система за контрол на емисиите, да се определят в първа екологична група.</w:t>
      </w:r>
    </w:p>
    <w:p w14:paraId="6D85D3C6" w14:textId="0CE372A6" w:rsidR="0027002A" w:rsidRDefault="0027002A" w:rsidP="00506F4F">
      <w:pPr>
        <w:pStyle w:val="ListParagraph"/>
        <w:spacing w:after="0" w:line="240" w:lineRule="auto"/>
        <w:ind w:left="0"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974"/>
        <w:gridCol w:w="3886"/>
      </w:tblGrid>
      <w:tr w:rsidR="0027002A" w:rsidRPr="009F0754" w14:paraId="187521B0" w14:textId="77777777" w:rsidTr="00834D89">
        <w:tc>
          <w:tcPr>
            <w:tcW w:w="4320" w:type="dxa"/>
          </w:tcPr>
          <w:p w14:paraId="73574E44" w14:textId="77777777" w:rsidR="0027002A" w:rsidRPr="009F0754" w:rsidRDefault="0027002A" w:rsidP="00834D89">
            <w:pPr>
              <w:spacing w:after="0" w:line="240" w:lineRule="auto"/>
              <w:ind w:left="-104"/>
              <w:jc w:val="both"/>
              <w:rPr>
                <w:rFonts w:ascii="Times New Roman" w:eastAsia="Times New Roman" w:hAnsi="Times New Roman"/>
                <w:bCs/>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Показател за изпълнение</w:t>
            </w:r>
            <w:r w:rsidRPr="009F0754">
              <w:rPr>
                <w:rFonts w:ascii="Times New Roman" w:eastAsia="Times New Roman" w:hAnsi="Times New Roman"/>
                <w:bCs/>
                <w:sz w:val="20"/>
                <w:szCs w:val="20"/>
                <w:bdr w:val="none" w:sz="0" w:space="0" w:color="auto" w:frame="1"/>
                <w:lang w:eastAsia="bg-BG"/>
              </w:rPr>
              <w:t xml:space="preserve"> </w:t>
            </w:r>
            <w:r w:rsidRPr="009F0754">
              <w:rPr>
                <w:rFonts w:ascii="Times New Roman" w:eastAsia="Times New Roman" w:hAnsi="Times New Roman"/>
                <w:bCs/>
                <w:i/>
                <w:sz w:val="20"/>
                <w:szCs w:val="20"/>
                <w:bdr w:val="none" w:sz="0" w:space="0" w:color="auto" w:frame="1"/>
                <w:lang w:eastAsia="bg-BG"/>
              </w:rPr>
              <w:t xml:space="preserve">определен в Приложение </w:t>
            </w:r>
            <w:r w:rsidRPr="009F0754">
              <w:rPr>
                <w:rFonts w:ascii="Times New Roman" w:eastAsia="Times New Roman" w:hAnsi="Times New Roman"/>
                <w:bCs/>
                <w:i/>
                <w:sz w:val="20"/>
                <w:szCs w:val="20"/>
                <w:bdr w:val="none" w:sz="0" w:space="0" w:color="auto" w:frame="1"/>
                <w:lang w:val="en-US" w:eastAsia="bg-BG"/>
              </w:rPr>
              <w:t xml:space="preserve">XIV – </w:t>
            </w:r>
            <w:r w:rsidRPr="009F0754">
              <w:rPr>
                <w:rFonts w:ascii="Times New Roman" w:eastAsia="Times New Roman" w:hAnsi="Times New Roman"/>
                <w:bCs/>
                <w:i/>
                <w:sz w:val="20"/>
                <w:szCs w:val="20"/>
                <w:bdr w:val="none" w:sz="0" w:space="0" w:color="auto" w:frame="1"/>
                <w:lang w:eastAsia="bg-BG"/>
              </w:rPr>
              <w:t>„План за действие“ към НППКАВ</w:t>
            </w:r>
            <w:r w:rsidRPr="009F0754">
              <w:rPr>
                <w:rFonts w:ascii="Times New Roman" w:eastAsia="Times New Roman" w:hAnsi="Times New Roman"/>
                <w:bCs/>
                <w:i/>
                <w:sz w:val="20"/>
                <w:szCs w:val="20"/>
                <w:bdr w:val="none" w:sz="0" w:space="0" w:color="auto" w:frame="1"/>
                <w:lang w:val="en-US" w:eastAsia="bg-BG"/>
              </w:rPr>
              <w:t>:</w:t>
            </w:r>
          </w:p>
        </w:tc>
        <w:tc>
          <w:tcPr>
            <w:tcW w:w="974" w:type="dxa"/>
          </w:tcPr>
          <w:p w14:paraId="776287E0" w14:textId="77777777" w:rsidR="0027002A" w:rsidRPr="009F0754" w:rsidRDefault="0027002A"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Целева стойност</w:t>
            </w:r>
          </w:p>
        </w:tc>
        <w:tc>
          <w:tcPr>
            <w:tcW w:w="3886" w:type="dxa"/>
          </w:tcPr>
          <w:p w14:paraId="1A03A246" w14:textId="7771567A" w:rsidR="0027002A" w:rsidRPr="009F0754" w:rsidRDefault="0027002A"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2023г.</w:t>
            </w:r>
          </w:p>
        </w:tc>
      </w:tr>
      <w:tr w:rsidR="0027002A" w:rsidRPr="0092702E" w14:paraId="40D8E158" w14:textId="77777777" w:rsidTr="00834D89">
        <w:tc>
          <w:tcPr>
            <w:tcW w:w="4320" w:type="dxa"/>
          </w:tcPr>
          <w:p w14:paraId="609A10A3" w14:textId="231B0F8C" w:rsidR="0027002A" w:rsidRPr="009F0754" w:rsidRDefault="007570AB"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7570AB">
              <w:rPr>
                <w:rFonts w:ascii="Times New Roman" w:eastAsia="Times New Roman" w:hAnsi="Times New Roman"/>
                <w:bCs/>
                <w:sz w:val="20"/>
                <w:szCs w:val="20"/>
                <w:bdr w:val="none" w:sz="0" w:space="0" w:color="auto" w:frame="1"/>
                <w:lang w:eastAsia="bg-BG"/>
              </w:rPr>
              <w:t>Наредба за изменение и допълнение на Наредба № Н-32 за периодичните прегледи за проверка на техническата изправност на пътните превозни средства.</w:t>
            </w:r>
          </w:p>
        </w:tc>
        <w:tc>
          <w:tcPr>
            <w:tcW w:w="974" w:type="dxa"/>
          </w:tcPr>
          <w:p w14:paraId="117D23CB" w14:textId="58205024" w:rsidR="0027002A" w:rsidRPr="009F0754" w:rsidRDefault="007570AB" w:rsidP="00834D89">
            <w:pPr>
              <w:pStyle w:val="ListParagraph"/>
              <w:spacing w:after="0" w:line="240" w:lineRule="auto"/>
              <w:ind w:left="-108"/>
              <w:jc w:val="center"/>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1</w:t>
            </w:r>
          </w:p>
        </w:tc>
        <w:tc>
          <w:tcPr>
            <w:tcW w:w="3886" w:type="dxa"/>
          </w:tcPr>
          <w:p w14:paraId="1F454E48" w14:textId="42C2E4F3" w:rsidR="0027002A" w:rsidRPr="005D5FE0" w:rsidRDefault="007570AB" w:rsidP="007570AB">
            <w:pPr>
              <w:pStyle w:val="ListParagraph"/>
              <w:spacing w:after="0" w:line="240" w:lineRule="auto"/>
              <w:ind w:left="-93"/>
              <w:jc w:val="both"/>
              <w:rPr>
                <w:rFonts w:ascii="Times New Roman" w:eastAsia="Times New Roman" w:hAnsi="Times New Roman"/>
                <w:bCs/>
                <w:sz w:val="20"/>
                <w:szCs w:val="20"/>
                <w:bdr w:val="none" w:sz="0" w:space="0" w:color="auto" w:frame="1"/>
                <w:lang w:val="en-US" w:eastAsia="bg-BG"/>
              </w:rPr>
            </w:pPr>
            <w:r w:rsidRPr="007570AB">
              <w:rPr>
                <w:rFonts w:ascii="Times New Roman" w:eastAsia="Times New Roman" w:hAnsi="Times New Roman"/>
                <w:bCs/>
                <w:sz w:val="20"/>
                <w:szCs w:val="20"/>
                <w:bdr w:val="none" w:sz="0" w:space="0" w:color="auto" w:frame="1"/>
                <w:lang w:eastAsia="bg-BG"/>
              </w:rPr>
              <w:t>Наредба за изменение и допълнение на Наредба № Н-32 за периодичните прегледи за проверка на техническата изправно</w:t>
            </w:r>
            <w:r w:rsidR="0023022A">
              <w:rPr>
                <w:rFonts w:ascii="Times New Roman" w:eastAsia="Times New Roman" w:hAnsi="Times New Roman"/>
                <w:bCs/>
                <w:sz w:val="20"/>
                <w:szCs w:val="20"/>
                <w:bdr w:val="none" w:sz="0" w:space="0" w:color="auto" w:frame="1"/>
                <w:lang w:eastAsia="bg-BG"/>
              </w:rPr>
              <w:t>ст на пътните превозни средства</w:t>
            </w:r>
            <w:r w:rsidR="0023022A" w:rsidRPr="0023022A">
              <w:rPr>
                <w:rFonts w:ascii="Times New Roman" w:eastAsia="Times New Roman" w:hAnsi="Times New Roman"/>
                <w:bCs/>
                <w:sz w:val="24"/>
                <w:szCs w:val="24"/>
                <w:bdr w:val="none" w:sz="0" w:space="0" w:color="auto" w:frame="1"/>
                <w:lang w:eastAsia="bg-BG"/>
              </w:rPr>
              <w:t xml:space="preserve"> </w:t>
            </w:r>
            <w:r w:rsidR="0023022A" w:rsidRPr="0023022A">
              <w:rPr>
                <w:rFonts w:ascii="Times New Roman" w:eastAsia="Times New Roman" w:hAnsi="Times New Roman"/>
                <w:bCs/>
                <w:sz w:val="20"/>
                <w:szCs w:val="20"/>
                <w:bdr w:val="none" w:sz="0" w:space="0" w:color="auto" w:frame="1"/>
                <w:lang w:eastAsia="bg-BG"/>
              </w:rPr>
              <w:t>(ДВ, бр. 88/2023г.)</w:t>
            </w:r>
            <w:r w:rsidR="0023022A">
              <w:rPr>
                <w:rFonts w:ascii="Times New Roman" w:eastAsia="Times New Roman" w:hAnsi="Times New Roman"/>
                <w:bCs/>
                <w:sz w:val="20"/>
                <w:szCs w:val="20"/>
                <w:bdr w:val="none" w:sz="0" w:space="0" w:color="auto" w:frame="1"/>
                <w:lang w:eastAsia="bg-BG"/>
              </w:rPr>
              <w:t>.</w:t>
            </w:r>
          </w:p>
        </w:tc>
      </w:tr>
    </w:tbl>
    <w:p w14:paraId="5B49C7DB" w14:textId="77777777" w:rsidR="0027002A" w:rsidRDefault="0027002A" w:rsidP="0027002A">
      <w:pPr>
        <w:spacing w:after="0" w:line="240" w:lineRule="auto"/>
        <w:ind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990"/>
        <w:gridCol w:w="3960"/>
      </w:tblGrid>
      <w:tr w:rsidR="0027002A" w:rsidRPr="00B01742" w14:paraId="5CB8ADDC" w14:textId="77777777" w:rsidTr="00834D89">
        <w:trPr>
          <w:trHeight w:val="583"/>
        </w:trPr>
        <w:tc>
          <w:tcPr>
            <w:tcW w:w="4230" w:type="dxa"/>
          </w:tcPr>
          <w:p w14:paraId="38850310" w14:textId="77777777" w:rsidR="0027002A" w:rsidRPr="00B01742" w:rsidRDefault="0027002A" w:rsidP="00834D89">
            <w:pPr>
              <w:spacing w:after="0" w:line="240" w:lineRule="auto"/>
              <w:ind w:left="-104"/>
              <w:jc w:val="both"/>
              <w:rPr>
                <w:rFonts w:ascii="Times New Roman" w:eastAsia="Times New Roman" w:hAnsi="Times New Roman"/>
                <w:bCs/>
                <w:sz w:val="20"/>
                <w:szCs w:val="20"/>
                <w:bdr w:val="none" w:sz="0" w:space="0" w:color="auto" w:frame="1"/>
                <w:lang w:eastAsia="bg-BG"/>
              </w:rPr>
            </w:pPr>
            <w:r w:rsidRPr="00B01742">
              <w:rPr>
                <w:rFonts w:ascii="Times New Roman" w:eastAsia="Times New Roman" w:hAnsi="Times New Roman"/>
                <w:bCs/>
                <w:i/>
                <w:sz w:val="20"/>
                <w:szCs w:val="20"/>
                <w:bdr w:val="none" w:sz="0" w:space="0" w:color="auto" w:frame="1"/>
                <w:lang w:eastAsia="bg-BG"/>
              </w:rPr>
              <w:t>Показател за резултат</w:t>
            </w:r>
            <w:r w:rsidRPr="00B01742">
              <w:rPr>
                <w:rFonts w:ascii="Times New Roman" w:eastAsia="Times New Roman" w:hAnsi="Times New Roman"/>
                <w:bCs/>
                <w:sz w:val="20"/>
                <w:szCs w:val="20"/>
                <w:bdr w:val="none" w:sz="0" w:space="0" w:color="auto" w:frame="1"/>
                <w:lang w:eastAsia="bg-BG"/>
              </w:rPr>
              <w:t xml:space="preserve"> </w:t>
            </w:r>
            <w:r w:rsidRPr="00B01742">
              <w:rPr>
                <w:rFonts w:ascii="Times New Roman" w:eastAsia="Times New Roman" w:hAnsi="Times New Roman"/>
                <w:bCs/>
                <w:i/>
                <w:sz w:val="20"/>
                <w:szCs w:val="20"/>
                <w:bdr w:val="none" w:sz="0" w:space="0" w:color="auto" w:frame="1"/>
                <w:lang w:eastAsia="bg-BG"/>
              </w:rPr>
              <w:t xml:space="preserve">определен в Приложение </w:t>
            </w:r>
            <w:r w:rsidRPr="00B01742">
              <w:rPr>
                <w:rFonts w:ascii="Times New Roman" w:eastAsia="Times New Roman" w:hAnsi="Times New Roman"/>
                <w:bCs/>
                <w:i/>
                <w:sz w:val="20"/>
                <w:szCs w:val="20"/>
                <w:bdr w:val="none" w:sz="0" w:space="0" w:color="auto" w:frame="1"/>
                <w:lang w:val="en-US" w:eastAsia="bg-BG"/>
              </w:rPr>
              <w:t xml:space="preserve">XIV – </w:t>
            </w:r>
            <w:r w:rsidRPr="00B01742">
              <w:rPr>
                <w:rFonts w:ascii="Times New Roman" w:eastAsia="Times New Roman" w:hAnsi="Times New Roman"/>
                <w:bCs/>
                <w:i/>
                <w:sz w:val="20"/>
                <w:szCs w:val="20"/>
                <w:bdr w:val="none" w:sz="0" w:space="0" w:color="auto" w:frame="1"/>
                <w:lang w:eastAsia="bg-BG"/>
              </w:rPr>
              <w:t>„План за действие“ към НППКАВ</w:t>
            </w:r>
            <w:r w:rsidRPr="00B01742">
              <w:rPr>
                <w:rFonts w:ascii="Times New Roman" w:eastAsia="Times New Roman" w:hAnsi="Times New Roman"/>
                <w:bCs/>
                <w:i/>
                <w:sz w:val="20"/>
                <w:szCs w:val="20"/>
                <w:bdr w:val="none" w:sz="0" w:space="0" w:color="auto" w:frame="1"/>
                <w:lang w:val="en-US" w:eastAsia="bg-BG"/>
              </w:rPr>
              <w:t>:</w:t>
            </w:r>
          </w:p>
        </w:tc>
        <w:tc>
          <w:tcPr>
            <w:tcW w:w="990" w:type="dxa"/>
          </w:tcPr>
          <w:p w14:paraId="61D342DE" w14:textId="77777777" w:rsidR="0027002A" w:rsidRDefault="0027002A"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Целева стойност</w:t>
            </w:r>
          </w:p>
        </w:tc>
        <w:tc>
          <w:tcPr>
            <w:tcW w:w="3960" w:type="dxa"/>
          </w:tcPr>
          <w:p w14:paraId="00B9387C" w14:textId="2A9F99B9" w:rsidR="0027002A" w:rsidRPr="00B01742" w:rsidRDefault="0027002A"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B01742">
              <w:rPr>
                <w:rFonts w:ascii="Times New Roman" w:eastAsia="Times New Roman" w:hAnsi="Times New Roman"/>
                <w:bCs/>
                <w:i/>
                <w:sz w:val="20"/>
                <w:szCs w:val="20"/>
                <w:bdr w:val="none" w:sz="0" w:space="0" w:color="auto" w:frame="1"/>
                <w:lang w:eastAsia="bg-BG"/>
              </w:rPr>
              <w:t>2023г.</w:t>
            </w:r>
          </w:p>
        </w:tc>
      </w:tr>
      <w:tr w:rsidR="0027002A" w:rsidRPr="0092702E" w14:paraId="03504F0E" w14:textId="77777777" w:rsidTr="00834D89">
        <w:tc>
          <w:tcPr>
            <w:tcW w:w="4230" w:type="dxa"/>
          </w:tcPr>
          <w:p w14:paraId="33F2AF55" w14:textId="77777777" w:rsidR="0027002A" w:rsidRPr="00B01742" w:rsidRDefault="0027002A"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E23B44">
              <w:rPr>
                <w:rFonts w:ascii="Times New Roman" w:eastAsia="Times New Roman" w:hAnsi="Times New Roman"/>
                <w:bCs/>
                <w:sz w:val="20"/>
                <w:szCs w:val="20"/>
                <w:bdr w:val="none" w:sz="0" w:space="0" w:color="auto" w:frame="1"/>
                <w:lang w:eastAsia="bg-BG"/>
              </w:rPr>
              <w:t>Подобрен контрол върху МПС</w:t>
            </w:r>
          </w:p>
        </w:tc>
        <w:tc>
          <w:tcPr>
            <w:tcW w:w="990" w:type="dxa"/>
          </w:tcPr>
          <w:p w14:paraId="003D3017" w14:textId="77777777" w:rsidR="0027002A" w:rsidRDefault="0027002A" w:rsidP="00834D89">
            <w:pPr>
              <w:pStyle w:val="ListParagraph"/>
              <w:spacing w:after="0" w:line="240" w:lineRule="auto"/>
              <w:ind w:left="-108"/>
              <w:jc w:val="center"/>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w:t>
            </w:r>
          </w:p>
        </w:tc>
        <w:tc>
          <w:tcPr>
            <w:tcW w:w="3960" w:type="dxa"/>
          </w:tcPr>
          <w:p w14:paraId="466A9E86" w14:textId="56761582" w:rsidR="0027002A" w:rsidRPr="00B01742" w:rsidRDefault="0062740F" w:rsidP="00834D89">
            <w:pPr>
              <w:pStyle w:val="ListParagraph"/>
              <w:spacing w:after="0" w:line="240" w:lineRule="auto"/>
              <w:ind w:left="-108"/>
              <w:jc w:val="both"/>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С</w:t>
            </w:r>
            <w:r w:rsidRPr="0062740F">
              <w:rPr>
                <w:rFonts w:ascii="Times New Roman" w:eastAsia="Times New Roman" w:hAnsi="Times New Roman"/>
                <w:bCs/>
                <w:sz w:val="20"/>
                <w:szCs w:val="20"/>
                <w:bdr w:val="none" w:sz="0" w:space="0" w:color="auto" w:frame="1"/>
                <w:lang w:eastAsia="bg-BG"/>
              </w:rPr>
              <w:t>ъздадена възможност по време на периодичния преглед за проверка на техническата изправност на моторните превозни средства техническият специалист, извършващ проверката, да има достъп до техническа информация във връзка с подлежащите на проверка елементи</w:t>
            </w:r>
            <w:r w:rsidR="0027002A" w:rsidRPr="001F7B03">
              <w:rPr>
                <w:rFonts w:ascii="Times New Roman" w:eastAsia="Times New Roman" w:hAnsi="Times New Roman"/>
                <w:bCs/>
                <w:sz w:val="20"/>
                <w:szCs w:val="20"/>
                <w:bdr w:val="none" w:sz="0" w:space="0" w:color="auto" w:frame="1"/>
                <w:lang w:eastAsia="bg-BG"/>
              </w:rPr>
              <w:t>.</w:t>
            </w:r>
          </w:p>
        </w:tc>
      </w:tr>
    </w:tbl>
    <w:p w14:paraId="1B369FEB" w14:textId="77777777" w:rsidR="00BE2B7D" w:rsidRPr="005F71F4" w:rsidRDefault="00BE2B7D" w:rsidP="00506F4F">
      <w:pPr>
        <w:spacing w:after="0" w:line="240" w:lineRule="auto"/>
        <w:ind w:firstLine="1134"/>
        <w:jc w:val="both"/>
        <w:rPr>
          <w:rFonts w:ascii="Times New Roman" w:eastAsia="Times New Roman" w:hAnsi="Times New Roman"/>
          <w:b/>
          <w:bCs/>
          <w:i/>
          <w:sz w:val="24"/>
          <w:szCs w:val="24"/>
          <w:bdr w:val="none" w:sz="0" w:space="0" w:color="auto" w:frame="1"/>
          <w:lang w:eastAsia="bg-BG"/>
        </w:rPr>
      </w:pPr>
    </w:p>
    <w:p w14:paraId="19A1C108" w14:textId="77777777" w:rsidR="00C3133B" w:rsidRDefault="00BE2B7D">
      <w:pPr>
        <w:spacing w:after="0" w:line="240" w:lineRule="auto"/>
        <w:jc w:val="both"/>
        <w:rPr>
          <w:rFonts w:ascii="Times New Roman" w:eastAsia="Times New Roman" w:hAnsi="Times New Roman"/>
          <w:b/>
          <w:bCs/>
          <w:i/>
          <w:sz w:val="24"/>
          <w:szCs w:val="24"/>
          <w:bdr w:val="none" w:sz="0" w:space="0" w:color="auto" w:frame="1"/>
          <w:lang w:eastAsia="bg-BG"/>
        </w:rPr>
      </w:pPr>
      <w:r w:rsidRPr="005F71F4">
        <w:rPr>
          <w:rFonts w:ascii="Times New Roman" w:eastAsia="Times New Roman" w:hAnsi="Times New Roman"/>
          <w:b/>
          <w:bCs/>
          <w:i/>
          <w:sz w:val="24"/>
          <w:szCs w:val="24"/>
          <w:bdr w:val="none" w:sz="0" w:space="0" w:color="auto" w:frame="1"/>
          <w:lang w:eastAsia="bg-BG"/>
        </w:rPr>
        <w:t>Мярка</w:t>
      </w:r>
      <w:r w:rsidRPr="005F71F4">
        <w:rPr>
          <w:rFonts w:ascii="Times New Roman" w:hAnsi="Times New Roman"/>
          <w:b/>
          <w:i/>
          <w:sz w:val="24"/>
          <w:szCs w:val="24"/>
        </w:rPr>
        <w:t xml:space="preserve">: </w:t>
      </w:r>
      <w:r w:rsidR="00C3133B" w:rsidRPr="005F71F4">
        <w:rPr>
          <w:rFonts w:ascii="Times New Roman" w:eastAsia="Times New Roman" w:hAnsi="Times New Roman"/>
          <w:b/>
          <w:bCs/>
          <w:sz w:val="24"/>
          <w:szCs w:val="24"/>
          <w:bdr w:val="none" w:sz="0" w:space="0" w:color="auto" w:frame="1"/>
          <w:lang w:eastAsia="bg-BG"/>
        </w:rPr>
        <w:t>Въвеждане на ЗНЕ за транспорта</w:t>
      </w:r>
    </w:p>
    <w:p w14:paraId="6D770E65" w14:textId="77777777" w:rsidR="005F71F4" w:rsidRPr="005F71F4" w:rsidRDefault="005F71F4">
      <w:pPr>
        <w:spacing w:after="0" w:line="240" w:lineRule="auto"/>
        <w:jc w:val="both"/>
        <w:rPr>
          <w:rFonts w:ascii="Times New Roman" w:eastAsia="Times New Roman" w:hAnsi="Times New Roman"/>
          <w:b/>
          <w:bCs/>
          <w:i/>
          <w:sz w:val="24"/>
          <w:szCs w:val="24"/>
          <w:bdr w:val="none" w:sz="0" w:space="0" w:color="auto" w:frame="1"/>
          <w:lang w:eastAsia="bg-BG"/>
        </w:rPr>
      </w:pPr>
    </w:p>
    <w:p w14:paraId="3083BC18" w14:textId="77777777" w:rsidR="00815D02" w:rsidRDefault="00815D02" w:rsidP="00815D02">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В процес на изпълнение.</w:t>
      </w:r>
    </w:p>
    <w:p w14:paraId="0B702544" w14:textId="5D7C437A" w:rsidR="00C7567F" w:rsidRPr="005F71F4" w:rsidRDefault="00C7567F"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5F71F4">
        <w:rPr>
          <w:rFonts w:ascii="Times New Roman" w:eastAsia="Times New Roman" w:hAnsi="Times New Roman"/>
          <w:bCs/>
          <w:sz w:val="24"/>
          <w:szCs w:val="24"/>
          <w:bdr w:val="none" w:sz="0" w:space="0" w:color="auto" w:frame="1"/>
          <w:lang w:eastAsia="bg-BG"/>
        </w:rPr>
        <w:t>Предвид това, че емисиите от транспорта са източник с принос за регистрираните превишения за замърсител ФПЧ</w:t>
      </w:r>
      <w:r w:rsidRPr="005F71F4">
        <w:rPr>
          <w:rFonts w:ascii="Times New Roman" w:eastAsia="Times New Roman" w:hAnsi="Times New Roman"/>
          <w:bCs/>
          <w:sz w:val="24"/>
          <w:szCs w:val="24"/>
          <w:bdr w:val="none" w:sz="0" w:space="0" w:color="auto" w:frame="1"/>
          <w:vertAlign w:val="subscript"/>
          <w:lang w:eastAsia="bg-BG"/>
        </w:rPr>
        <w:t>10</w:t>
      </w:r>
      <w:r w:rsidRPr="005F71F4">
        <w:rPr>
          <w:rFonts w:ascii="Times New Roman" w:eastAsia="Times New Roman" w:hAnsi="Times New Roman"/>
          <w:bCs/>
          <w:sz w:val="24"/>
          <w:szCs w:val="24"/>
          <w:bdr w:val="none" w:sz="0" w:space="0" w:color="auto" w:frame="1"/>
          <w:lang w:eastAsia="bg-BG"/>
        </w:rPr>
        <w:t xml:space="preserve"> главно в големите урбанизирани райони, тази мярка се очаква да се прилага в тези общини, в които това е необходимо, и там, където подобни мерки ще имат значително въздействие. В тази връзка за въвеждането</w:t>
      </w:r>
      <w:r w:rsidR="005563F6">
        <w:rPr>
          <w:rFonts w:ascii="Times New Roman" w:eastAsia="Times New Roman" w:hAnsi="Times New Roman"/>
          <w:bCs/>
          <w:sz w:val="24"/>
          <w:szCs w:val="24"/>
          <w:bdr w:val="none" w:sz="0" w:space="0" w:color="auto" w:frame="1"/>
          <w:lang w:eastAsia="bg-BG"/>
        </w:rPr>
        <w:t xml:space="preserve"> на ЗНЕ</w:t>
      </w:r>
      <w:r w:rsidR="0088790C">
        <w:rPr>
          <w:rFonts w:ascii="Times New Roman" w:eastAsia="Times New Roman" w:hAnsi="Times New Roman"/>
          <w:bCs/>
          <w:sz w:val="24"/>
          <w:szCs w:val="24"/>
          <w:bdr w:val="none" w:sz="0" w:space="0" w:color="auto" w:frame="1"/>
          <w:lang w:eastAsia="bg-BG"/>
        </w:rPr>
        <w:t xml:space="preserve"> е извършено следното:</w:t>
      </w:r>
      <w:r w:rsidRPr="005F71F4">
        <w:rPr>
          <w:rFonts w:ascii="Times New Roman" w:eastAsia="Times New Roman" w:hAnsi="Times New Roman"/>
          <w:bCs/>
          <w:sz w:val="24"/>
          <w:szCs w:val="24"/>
          <w:bdr w:val="none" w:sz="0" w:space="0" w:color="auto" w:frame="1"/>
          <w:lang w:eastAsia="bg-BG"/>
        </w:rPr>
        <w:t xml:space="preserve"> </w:t>
      </w:r>
    </w:p>
    <w:p w14:paraId="68525CD2" w14:textId="137BDCBC" w:rsidR="005563F6" w:rsidRDefault="005563F6" w:rsidP="005563F6">
      <w:pPr>
        <w:spacing w:after="0" w:line="240" w:lineRule="auto"/>
        <w:ind w:firstLine="1134"/>
        <w:jc w:val="both"/>
        <w:rPr>
          <w:rFonts w:ascii="Times New Roman" w:eastAsia="Times New Roman" w:hAnsi="Times New Roman"/>
          <w:bCs/>
          <w:sz w:val="24"/>
          <w:szCs w:val="24"/>
          <w:bdr w:val="none" w:sz="0" w:space="0" w:color="auto" w:frame="1"/>
          <w:lang w:eastAsia="bg-BG"/>
        </w:rPr>
      </w:pPr>
      <w:r w:rsidRPr="005563F6">
        <w:rPr>
          <w:rFonts w:ascii="Times New Roman" w:eastAsia="Times New Roman" w:hAnsi="Times New Roman"/>
          <w:bCs/>
          <w:sz w:val="24"/>
          <w:szCs w:val="24"/>
          <w:bdr w:val="none" w:sz="0" w:space="0" w:color="auto" w:frame="1"/>
          <w:lang w:eastAsia="bg-BG"/>
        </w:rPr>
        <w:t>По отношение на мярка</w:t>
      </w:r>
      <w:r w:rsidR="00675E12">
        <w:rPr>
          <w:rFonts w:ascii="Times New Roman" w:eastAsia="Times New Roman" w:hAnsi="Times New Roman"/>
          <w:bCs/>
          <w:sz w:val="24"/>
          <w:szCs w:val="24"/>
          <w:bdr w:val="none" w:sz="0" w:space="0" w:color="auto" w:frame="1"/>
          <w:lang w:eastAsia="bg-BG"/>
        </w:rPr>
        <w:t>та</w:t>
      </w:r>
      <w:r w:rsidRPr="005563F6">
        <w:rPr>
          <w:rFonts w:ascii="Times New Roman" w:eastAsia="Times New Roman" w:hAnsi="Times New Roman"/>
          <w:bCs/>
          <w:i/>
          <w:sz w:val="24"/>
          <w:szCs w:val="24"/>
          <w:bdr w:val="none" w:sz="0" w:space="0" w:color="auto" w:frame="1"/>
          <w:lang w:eastAsia="bg-BG"/>
        </w:rPr>
        <w:t xml:space="preserve"> Въвеждане на Зони с ниски емисии за транспорта</w:t>
      </w:r>
      <w:r w:rsidRPr="005563F6">
        <w:rPr>
          <w:rFonts w:ascii="Times New Roman" w:eastAsia="Times New Roman" w:hAnsi="Times New Roman"/>
          <w:bCs/>
          <w:sz w:val="24"/>
          <w:szCs w:val="24"/>
          <w:bdr w:val="none" w:sz="0" w:space="0" w:color="auto" w:frame="1"/>
          <w:lang w:eastAsia="bg-BG"/>
        </w:rPr>
        <w:t xml:space="preserve">, </w:t>
      </w:r>
      <w:r w:rsidR="002375F4">
        <w:rPr>
          <w:rFonts w:ascii="Times New Roman" w:eastAsia="Times New Roman" w:hAnsi="Times New Roman"/>
          <w:bCs/>
          <w:sz w:val="24"/>
          <w:szCs w:val="24"/>
          <w:bdr w:val="none" w:sz="0" w:space="0" w:color="auto" w:frame="1"/>
          <w:lang w:eastAsia="bg-BG"/>
        </w:rPr>
        <w:t>и във връзка със</w:t>
      </w:r>
      <w:r w:rsidRPr="005563F6">
        <w:rPr>
          <w:rFonts w:ascii="Times New Roman" w:eastAsia="Times New Roman" w:hAnsi="Times New Roman"/>
          <w:bCs/>
          <w:sz w:val="24"/>
          <w:szCs w:val="24"/>
          <w:bdr w:val="none" w:sz="0" w:space="0" w:color="auto" w:frame="1"/>
          <w:lang w:eastAsia="bg-BG"/>
        </w:rPr>
        <w:t xml:space="preserve"> заложени</w:t>
      </w:r>
      <w:r w:rsidR="002375F4">
        <w:rPr>
          <w:rFonts w:ascii="Times New Roman" w:eastAsia="Times New Roman" w:hAnsi="Times New Roman"/>
          <w:bCs/>
          <w:sz w:val="24"/>
          <w:szCs w:val="24"/>
          <w:bdr w:val="none" w:sz="0" w:space="0" w:color="auto" w:frame="1"/>
          <w:lang w:eastAsia="bg-BG"/>
        </w:rPr>
        <w:t>те</w:t>
      </w:r>
      <w:r w:rsidRPr="005563F6">
        <w:rPr>
          <w:rFonts w:ascii="Times New Roman" w:eastAsia="Times New Roman" w:hAnsi="Times New Roman"/>
          <w:bCs/>
          <w:sz w:val="24"/>
          <w:szCs w:val="24"/>
          <w:bdr w:val="none" w:sz="0" w:space="0" w:color="auto" w:frame="1"/>
          <w:lang w:eastAsia="bg-BG"/>
        </w:rPr>
        <w:t xml:space="preserve"> </w:t>
      </w:r>
      <w:r w:rsidR="002375F4">
        <w:rPr>
          <w:rFonts w:ascii="Times New Roman" w:eastAsia="Times New Roman" w:hAnsi="Times New Roman"/>
          <w:bCs/>
          <w:sz w:val="24"/>
          <w:szCs w:val="24"/>
          <w:bdr w:val="none" w:sz="0" w:space="0" w:color="auto" w:frame="1"/>
          <w:lang w:eastAsia="bg-BG"/>
        </w:rPr>
        <w:t xml:space="preserve">такива </w:t>
      </w:r>
      <w:r w:rsidR="0000347B">
        <w:rPr>
          <w:rFonts w:ascii="Times New Roman" w:eastAsia="Times New Roman" w:hAnsi="Times New Roman"/>
          <w:bCs/>
          <w:sz w:val="24"/>
          <w:szCs w:val="24"/>
          <w:bdr w:val="none" w:sz="0" w:space="0" w:color="auto" w:frame="1"/>
          <w:lang w:eastAsia="bg-BG"/>
        </w:rPr>
        <w:t xml:space="preserve">мерки </w:t>
      </w:r>
      <w:r w:rsidRPr="005563F6">
        <w:rPr>
          <w:rFonts w:ascii="Times New Roman" w:eastAsia="Times New Roman" w:hAnsi="Times New Roman"/>
          <w:bCs/>
          <w:sz w:val="24"/>
          <w:szCs w:val="24"/>
          <w:bdr w:val="none" w:sz="0" w:space="0" w:color="auto" w:frame="1"/>
          <w:lang w:eastAsia="bg-BG"/>
        </w:rPr>
        <w:t xml:space="preserve">за изпълнение </w:t>
      </w:r>
      <w:r w:rsidR="002375F4">
        <w:rPr>
          <w:rFonts w:ascii="Times New Roman" w:eastAsia="Times New Roman" w:hAnsi="Times New Roman"/>
          <w:bCs/>
          <w:sz w:val="24"/>
          <w:szCs w:val="24"/>
          <w:bdr w:val="none" w:sz="0" w:space="0" w:color="auto" w:frame="1"/>
          <w:lang w:eastAsia="bg-BG"/>
        </w:rPr>
        <w:t xml:space="preserve">в общинската програма на Столична община, е приета </w:t>
      </w:r>
      <w:r w:rsidRPr="0000347B">
        <w:rPr>
          <w:rFonts w:ascii="Times New Roman" w:eastAsia="Times New Roman" w:hAnsi="Times New Roman"/>
          <w:bCs/>
          <w:i/>
          <w:sz w:val="24"/>
          <w:szCs w:val="24"/>
          <w:bdr w:val="none" w:sz="0" w:space="0" w:color="auto" w:frame="1"/>
          <w:lang w:eastAsia="bg-BG"/>
        </w:rPr>
        <w:t>Наредба за създаване на зони с ниски емисии на вредни вещества в атмосферния въздух на територията на Столична община</w:t>
      </w:r>
      <w:r w:rsidRPr="005563F6">
        <w:rPr>
          <w:rFonts w:ascii="Times New Roman" w:eastAsia="Times New Roman" w:hAnsi="Times New Roman"/>
          <w:bCs/>
          <w:sz w:val="24"/>
          <w:szCs w:val="24"/>
          <w:bdr w:val="none" w:sz="0" w:space="0" w:color="auto" w:frame="1"/>
          <w:lang w:eastAsia="bg-BG"/>
        </w:rPr>
        <w:t>.</w:t>
      </w:r>
      <w:r w:rsidR="002375F4">
        <w:rPr>
          <w:rFonts w:ascii="Times New Roman" w:eastAsia="Times New Roman" w:hAnsi="Times New Roman"/>
          <w:bCs/>
          <w:sz w:val="24"/>
          <w:szCs w:val="24"/>
          <w:bdr w:val="none" w:sz="0" w:space="0" w:color="auto" w:frame="1"/>
          <w:lang w:eastAsia="bg-BG"/>
        </w:rPr>
        <w:t xml:space="preserve"> </w:t>
      </w:r>
      <w:r w:rsidR="00EE7ADA">
        <w:rPr>
          <w:rFonts w:ascii="Times New Roman" w:eastAsia="Times New Roman" w:hAnsi="Times New Roman"/>
          <w:bCs/>
          <w:sz w:val="24"/>
          <w:szCs w:val="24"/>
          <w:bdr w:val="none" w:sz="0" w:space="0" w:color="auto" w:frame="1"/>
          <w:lang w:eastAsia="bg-BG"/>
        </w:rPr>
        <w:t>Н</w:t>
      </w:r>
      <w:r w:rsidRPr="005563F6">
        <w:rPr>
          <w:rFonts w:ascii="Times New Roman" w:eastAsia="Times New Roman" w:hAnsi="Times New Roman"/>
          <w:bCs/>
          <w:sz w:val="24"/>
          <w:szCs w:val="24"/>
          <w:bdr w:val="none" w:sz="0" w:space="0" w:color="auto" w:frame="1"/>
          <w:lang w:eastAsia="bg-BG"/>
        </w:rPr>
        <w:t xml:space="preserve">аредбата </w:t>
      </w:r>
      <w:r w:rsidR="002375F4">
        <w:rPr>
          <w:rFonts w:ascii="Times New Roman" w:eastAsia="Times New Roman" w:hAnsi="Times New Roman"/>
          <w:bCs/>
          <w:sz w:val="24"/>
          <w:szCs w:val="24"/>
          <w:bdr w:val="none" w:sz="0" w:space="0" w:color="auto" w:frame="1"/>
          <w:lang w:eastAsia="bg-BG"/>
        </w:rPr>
        <w:t xml:space="preserve">въвежда </w:t>
      </w:r>
      <w:r w:rsidRPr="005563F6">
        <w:rPr>
          <w:rFonts w:ascii="Times New Roman" w:eastAsia="Times New Roman" w:hAnsi="Times New Roman"/>
          <w:bCs/>
          <w:sz w:val="24"/>
          <w:szCs w:val="24"/>
          <w:bdr w:val="none" w:sz="0" w:space="0" w:color="auto" w:frame="1"/>
          <w:lang w:eastAsia="bg-BG"/>
        </w:rPr>
        <w:t xml:space="preserve">ограничения и забрани за движението на </w:t>
      </w:r>
      <w:r w:rsidR="00EE7ADA">
        <w:rPr>
          <w:rFonts w:ascii="Times New Roman" w:eastAsia="Times New Roman" w:hAnsi="Times New Roman"/>
          <w:bCs/>
          <w:sz w:val="24"/>
          <w:szCs w:val="24"/>
          <w:bdr w:val="none" w:sz="0" w:space="0" w:color="auto" w:frame="1"/>
          <w:lang w:eastAsia="bg-BG"/>
        </w:rPr>
        <w:t>моторни превозни средства (</w:t>
      </w:r>
      <w:r w:rsidR="002375F4">
        <w:rPr>
          <w:rFonts w:ascii="Times New Roman" w:eastAsia="Times New Roman" w:hAnsi="Times New Roman"/>
          <w:bCs/>
          <w:sz w:val="24"/>
          <w:szCs w:val="24"/>
          <w:bdr w:val="none" w:sz="0" w:space="0" w:color="auto" w:frame="1"/>
          <w:lang w:eastAsia="bg-BG"/>
        </w:rPr>
        <w:t>МПС</w:t>
      </w:r>
      <w:r w:rsidR="00EE7ADA">
        <w:rPr>
          <w:rFonts w:ascii="Times New Roman" w:eastAsia="Times New Roman" w:hAnsi="Times New Roman"/>
          <w:bCs/>
          <w:sz w:val="24"/>
          <w:szCs w:val="24"/>
          <w:bdr w:val="none" w:sz="0" w:space="0" w:color="auto" w:frame="1"/>
          <w:lang w:eastAsia="bg-BG"/>
        </w:rPr>
        <w:t>)</w:t>
      </w:r>
      <w:r w:rsidRPr="005563F6">
        <w:rPr>
          <w:rFonts w:ascii="Times New Roman" w:eastAsia="Times New Roman" w:hAnsi="Times New Roman"/>
          <w:bCs/>
          <w:sz w:val="24"/>
          <w:szCs w:val="24"/>
          <w:bdr w:val="none" w:sz="0" w:space="0" w:color="auto" w:frame="1"/>
          <w:lang w:eastAsia="bg-BG"/>
        </w:rPr>
        <w:t xml:space="preserve">, категоризирани в екологични групи, за определен период от време, в </w:t>
      </w:r>
      <w:r w:rsidR="005E7D2D">
        <w:rPr>
          <w:rFonts w:ascii="Times New Roman" w:eastAsia="Times New Roman" w:hAnsi="Times New Roman"/>
          <w:bCs/>
          <w:sz w:val="24"/>
          <w:szCs w:val="24"/>
          <w:bdr w:val="none" w:sz="0" w:space="0" w:color="auto" w:frame="1"/>
          <w:lang w:eastAsia="bg-BG"/>
        </w:rPr>
        <w:t>определени</w:t>
      </w:r>
      <w:r w:rsidRPr="005563F6">
        <w:rPr>
          <w:rFonts w:ascii="Times New Roman" w:eastAsia="Times New Roman" w:hAnsi="Times New Roman"/>
          <w:bCs/>
          <w:sz w:val="24"/>
          <w:szCs w:val="24"/>
          <w:bdr w:val="none" w:sz="0" w:space="0" w:color="auto" w:frame="1"/>
          <w:lang w:eastAsia="bg-BG"/>
        </w:rPr>
        <w:t xml:space="preserve"> зони.</w:t>
      </w:r>
      <w:r w:rsidR="00163B14">
        <w:rPr>
          <w:rFonts w:ascii="Times New Roman" w:eastAsia="Times New Roman" w:hAnsi="Times New Roman"/>
          <w:bCs/>
          <w:sz w:val="24"/>
          <w:szCs w:val="24"/>
          <w:bdr w:val="none" w:sz="0" w:space="0" w:color="auto" w:frame="1"/>
          <w:lang w:eastAsia="bg-BG"/>
        </w:rPr>
        <w:t xml:space="preserve"> </w:t>
      </w:r>
      <w:r w:rsidRPr="005563F6">
        <w:rPr>
          <w:rFonts w:ascii="Times New Roman" w:eastAsia="Times New Roman" w:hAnsi="Times New Roman"/>
          <w:bCs/>
          <w:sz w:val="24"/>
          <w:szCs w:val="24"/>
          <w:bdr w:val="none" w:sz="0" w:space="0" w:color="auto" w:frame="1"/>
          <w:lang w:eastAsia="bg-BG"/>
        </w:rPr>
        <w:t xml:space="preserve">С </w:t>
      </w:r>
      <w:r w:rsidR="00163B14">
        <w:rPr>
          <w:rFonts w:ascii="Times New Roman" w:eastAsia="Times New Roman" w:hAnsi="Times New Roman"/>
          <w:bCs/>
          <w:sz w:val="24"/>
          <w:szCs w:val="24"/>
          <w:bdr w:val="none" w:sz="0" w:space="0" w:color="auto" w:frame="1"/>
          <w:lang w:eastAsia="bg-BG"/>
        </w:rPr>
        <w:t>н</w:t>
      </w:r>
      <w:r w:rsidRPr="005563F6">
        <w:rPr>
          <w:rFonts w:ascii="Times New Roman" w:eastAsia="Times New Roman" w:hAnsi="Times New Roman"/>
          <w:bCs/>
          <w:sz w:val="24"/>
          <w:szCs w:val="24"/>
          <w:bdr w:val="none" w:sz="0" w:space="0" w:color="auto" w:frame="1"/>
          <w:lang w:eastAsia="bg-BG"/>
        </w:rPr>
        <w:t>аредбата се въвеждат две зони с ниски емисии на вредни вещества, в които се ограничава движението на МПС в зависимост от категоризацията им в съответните екологични групи</w:t>
      </w:r>
      <w:r w:rsidR="00163B14">
        <w:rPr>
          <w:rFonts w:ascii="Times New Roman" w:eastAsia="Times New Roman" w:hAnsi="Times New Roman"/>
          <w:bCs/>
          <w:sz w:val="24"/>
          <w:szCs w:val="24"/>
          <w:bdr w:val="none" w:sz="0" w:space="0" w:color="auto" w:frame="1"/>
          <w:lang w:eastAsia="bg-BG"/>
        </w:rPr>
        <w:t>.</w:t>
      </w:r>
      <w:r w:rsidR="0000347B">
        <w:rPr>
          <w:rFonts w:ascii="Times New Roman" w:eastAsia="Times New Roman" w:hAnsi="Times New Roman"/>
          <w:bCs/>
          <w:sz w:val="24"/>
          <w:szCs w:val="24"/>
          <w:bdr w:val="none" w:sz="0" w:space="0" w:color="auto" w:frame="1"/>
          <w:lang w:eastAsia="bg-BG"/>
        </w:rPr>
        <w:t xml:space="preserve"> </w:t>
      </w:r>
      <w:r w:rsidRPr="005563F6">
        <w:rPr>
          <w:rFonts w:ascii="Times New Roman" w:eastAsia="Times New Roman" w:hAnsi="Times New Roman"/>
          <w:bCs/>
          <w:sz w:val="24"/>
          <w:szCs w:val="24"/>
          <w:bdr w:val="none" w:sz="0" w:space="0" w:color="auto" w:frame="1"/>
          <w:lang w:eastAsia="bg-BG"/>
        </w:rPr>
        <w:t xml:space="preserve">Периодът на забрана за движение на МПС е </w:t>
      </w:r>
      <w:r w:rsidR="00F04768">
        <w:rPr>
          <w:rFonts w:ascii="Times New Roman" w:eastAsia="Times New Roman" w:hAnsi="Times New Roman"/>
          <w:bCs/>
          <w:sz w:val="24"/>
          <w:szCs w:val="24"/>
          <w:bdr w:val="none" w:sz="0" w:space="0" w:color="auto" w:frame="1"/>
          <w:lang w:eastAsia="bg-BG"/>
        </w:rPr>
        <w:t xml:space="preserve">за три месеца – </w:t>
      </w:r>
      <w:r w:rsidRPr="005563F6">
        <w:rPr>
          <w:rFonts w:ascii="Times New Roman" w:eastAsia="Times New Roman" w:hAnsi="Times New Roman"/>
          <w:bCs/>
          <w:sz w:val="24"/>
          <w:szCs w:val="24"/>
          <w:bdr w:val="none" w:sz="0" w:space="0" w:color="auto" w:frame="1"/>
          <w:lang w:eastAsia="bg-BG"/>
        </w:rPr>
        <w:t>от 01 декември на съответната календарна година до последния ден на февруари на следващата календарна година.</w:t>
      </w:r>
      <w:r w:rsidR="00647BA8">
        <w:rPr>
          <w:rFonts w:ascii="Times New Roman" w:eastAsia="Times New Roman" w:hAnsi="Times New Roman"/>
          <w:bCs/>
          <w:sz w:val="24"/>
          <w:szCs w:val="24"/>
          <w:bdr w:val="none" w:sz="0" w:space="0" w:color="auto" w:frame="1"/>
          <w:lang w:eastAsia="bg-BG"/>
        </w:rPr>
        <w:t xml:space="preserve"> През 2023г., считано от 01.12.2023г. ограни</w:t>
      </w:r>
      <w:r w:rsidR="0088790C">
        <w:rPr>
          <w:rFonts w:ascii="Times New Roman" w:eastAsia="Times New Roman" w:hAnsi="Times New Roman"/>
          <w:bCs/>
          <w:sz w:val="24"/>
          <w:szCs w:val="24"/>
          <w:bdr w:val="none" w:sz="0" w:space="0" w:color="auto" w:frame="1"/>
          <w:lang w:eastAsia="bg-BG"/>
        </w:rPr>
        <w:t xml:space="preserve">чението </w:t>
      </w:r>
      <w:r w:rsidR="00647BA8">
        <w:rPr>
          <w:rFonts w:ascii="Times New Roman" w:eastAsia="Times New Roman" w:hAnsi="Times New Roman"/>
          <w:bCs/>
          <w:sz w:val="24"/>
          <w:szCs w:val="24"/>
          <w:bdr w:val="none" w:sz="0" w:space="0" w:color="auto" w:frame="1"/>
          <w:lang w:eastAsia="bg-BG"/>
        </w:rPr>
        <w:t>е въведено</w:t>
      </w:r>
      <w:r w:rsidR="004E5378">
        <w:rPr>
          <w:rFonts w:ascii="Times New Roman" w:eastAsia="Times New Roman" w:hAnsi="Times New Roman"/>
          <w:bCs/>
          <w:sz w:val="24"/>
          <w:szCs w:val="24"/>
          <w:bdr w:val="none" w:sz="0" w:space="0" w:color="auto" w:frame="1"/>
          <w:lang w:eastAsia="bg-BG"/>
        </w:rPr>
        <w:t xml:space="preserve"> в град София</w:t>
      </w:r>
      <w:r w:rsidR="00647BA8">
        <w:rPr>
          <w:rFonts w:ascii="Times New Roman" w:eastAsia="Times New Roman" w:hAnsi="Times New Roman"/>
          <w:bCs/>
          <w:sz w:val="24"/>
          <w:szCs w:val="24"/>
          <w:bdr w:val="none" w:sz="0" w:space="0" w:color="auto" w:frame="1"/>
          <w:lang w:eastAsia="bg-BG"/>
        </w:rPr>
        <w:t>.</w:t>
      </w:r>
      <w:r w:rsidR="0000347B">
        <w:rPr>
          <w:rFonts w:ascii="Times New Roman" w:eastAsia="Times New Roman" w:hAnsi="Times New Roman"/>
          <w:bCs/>
          <w:sz w:val="24"/>
          <w:szCs w:val="24"/>
          <w:bdr w:val="none" w:sz="0" w:space="0" w:color="auto" w:frame="1"/>
          <w:lang w:eastAsia="bg-BG"/>
        </w:rPr>
        <w:t xml:space="preserve"> </w:t>
      </w:r>
      <w:r w:rsidRPr="005563F6">
        <w:rPr>
          <w:rFonts w:ascii="Times New Roman" w:eastAsia="Times New Roman" w:hAnsi="Times New Roman"/>
          <w:bCs/>
          <w:sz w:val="24"/>
          <w:szCs w:val="24"/>
          <w:bdr w:val="none" w:sz="0" w:space="0" w:color="auto" w:frame="1"/>
          <w:lang w:eastAsia="bg-BG"/>
        </w:rPr>
        <w:t xml:space="preserve">За предоставяне на информация </w:t>
      </w:r>
      <w:r w:rsidR="00647BA8">
        <w:rPr>
          <w:rFonts w:ascii="Times New Roman" w:eastAsia="Times New Roman" w:hAnsi="Times New Roman"/>
          <w:bCs/>
          <w:sz w:val="24"/>
          <w:szCs w:val="24"/>
          <w:bdr w:val="none" w:sz="0" w:space="0" w:color="auto" w:frame="1"/>
          <w:lang w:eastAsia="bg-BG"/>
        </w:rPr>
        <w:t>н</w:t>
      </w:r>
      <w:r w:rsidR="00647BA8" w:rsidRPr="005563F6">
        <w:rPr>
          <w:rFonts w:ascii="Times New Roman" w:eastAsia="Times New Roman" w:hAnsi="Times New Roman"/>
          <w:bCs/>
          <w:iCs/>
          <w:sz w:val="24"/>
          <w:szCs w:val="24"/>
          <w:bdr w:val="none" w:sz="0" w:space="0" w:color="auto" w:frame="1"/>
          <w:lang w:eastAsia="bg-BG"/>
        </w:rPr>
        <w:t xml:space="preserve">а </w:t>
      </w:r>
      <w:r w:rsidR="00647BA8">
        <w:rPr>
          <w:rFonts w:ascii="Times New Roman" w:eastAsia="Times New Roman" w:hAnsi="Times New Roman"/>
          <w:bCs/>
          <w:iCs/>
          <w:sz w:val="24"/>
          <w:szCs w:val="24"/>
          <w:bdr w:val="none" w:sz="0" w:space="0" w:color="auto" w:frame="1"/>
          <w:lang w:eastAsia="bg-BG"/>
        </w:rPr>
        <w:t xml:space="preserve">интернет страницата на </w:t>
      </w:r>
      <w:r w:rsidR="00574AB8">
        <w:rPr>
          <w:rFonts w:ascii="Times New Roman" w:eastAsia="Times New Roman" w:hAnsi="Times New Roman"/>
          <w:bCs/>
          <w:iCs/>
          <w:sz w:val="24"/>
          <w:szCs w:val="24"/>
          <w:bdr w:val="none" w:sz="0" w:space="0" w:color="auto" w:frame="1"/>
          <w:lang w:eastAsia="bg-BG"/>
        </w:rPr>
        <w:t xml:space="preserve">Столична </w:t>
      </w:r>
      <w:r w:rsidR="00647BA8" w:rsidRPr="005563F6">
        <w:rPr>
          <w:rFonts w:ascii="Times New Roman" w:eastAsia="Times New Roman" w:hAnsi="Times New Roman"/>
          <w:bCs/>
          <w:iCs/>
          <w:sz w:val="24"/>
          <w:szCs w:val="24"/>
          <w:bdr w:val="none" w:sz="0" w:space="0" w:color="auto" w:frame="1"/>
          <w:lang w:eastAsia="bg-BG"/>
        </w:rPr>
        <w:t>община е създадена отделна секция „</w:t>
      </w:r>
      <w:proofErr w:type="spellStart"/>
      <w:r w:rsidR="00647BA8" w:rsidRPr="005563F6">
        <w:rPr>
          <w:rFonts w:ascii="Times New Roman" w:eastAsia="Times New Roman" w:hAnsi="Times New Roman"/>
          <w:bCs/>
          <w:iCs/>
          <w:sz w:val="24"/>
          <w:szCs w:val="24"/>
          <w:bdr w:val="none" w:sz="0" w:space="0" w:color="auto" w:frame="1"/>
          <w:lang w:eastAsia="bg-BG"/>
        </w:rPr>
        <w:t>Нискоемис</w:t>
      </w:r>
      <w:r w:rsidR="00647BA8">
        <w:rPr>
          <w:rFonts w:ascii="Times New Roman" w:eastAsia="Times New Roman" w:hAnsi="Times New Roman"/>
          <w:bCs/>
          <w:iCs/>
          <w:sz w:val="24"/>
          <w:szCs w:val="24"/>
          <w:bdr w:val="none" w:sz="0" w:space="0" w:color="auto" w:frame="1"/>
          <w:lang w:eastAsia="bg-BG"/>
        </w:rPr>
        <w:t>ионни</w:t>
      </w:r>
      <w:proofErr w:type="spellEnd"/>
      <w:r w:rsidR="00647BA8">
        <w:rPr>
          <w:rFonts w:ascii="Times New Roman" w:eastAsia="Times New Roman" w:hAnsi="Times New Roman"/>
          <w:bCs/>
          <w:iCs/>
          <w:sz w:val="24"/>
          <w:szCs w:val="24"/>
          <w:bdr w:val="none" w:sz="0" w:space="0" w:color="auto" w:frame="1"/>
          <w:lang w:eastAsia="bg-BG"/>
        </w:rPr>
        <w:t xml:space="preserve"> зони</w:t>
      </w:r>
      <w:r w:rsidR="00647BA8" w:rsidRPr="005563F6">
        <w:rPr>
          <w:rFonts w:ascii="Times New Roman" w:eastAsia="Times New Roman" w:hAnsi="Times New Roman"/>
          <w:bCs/>
          <w:iCs/>
          <w:sz w:val="24"/>
          <w:szCs w:val="24"/>
          <w:bdr w:val="none" w:sz="0" w:space="0" w:color="auto" w:frame="1"/>
          <w:lang w:eastAsia="bg-BG"/>
        </w:rPr>
        <w:t>“</w:t>
      </w:r>
      <w:r w:rsidR="00647BA8">
        <w:rPr>
          <w:rStyle w:val="FootnoteReference"/>
          <w:rFonts w:ascii="Times New Roman" w:eastAsia="Times New Roman" w:hAnsi="Times New Roman"/>
          <w:bCs/>
          <w:iCs/>
          <w:sz w:val="24"/>
          <w:szCs w:val="24"/>
          <w:bdr w:val="none" w:sz="0" w:space="0" w:color="auto" w:frame="1"/>
          <w:lang w:eastAsia="bg-BG"/>
        </w:rPr>
        <w:footnoteReference w:id="6"/>
      </w:r>
      <w:r w:rsidR="00647BA8">
        <w:rPr>
          <w:rFonts w:ascii="Times New Roman" w:eastAsia="Times New Roman" w:hAnsi="Times New Roman"/>
          <w:bCs/>
          <w:iCs/>
          <w:sz w:val="24"/>
          <w:szCs w:val="24"/>
          <w:bdr w:val="none" w:sz="0" w:space="0" w:color="auto" w:frame="1"/>
          <w:lang w:eastAsia="bg-BG"/>
        </w:rPr>
        <w:t xml:space="preserve">. </w:t>
      </w:r>
      <w:r w:rsidRPr="005563F6">
        <w:rPr>
          <w:rFonts w:ascii="Times New Roman" w:eastAsia="Times New Roman" w:hAnsi="Times New Roman"/>
          <w:bCs/>
          <w:sz w:val="24"/>
          <w:szCs w:val="24"/>
          <w:bdr w:val="none" w:sz="0" w:space="0" w:color="auto" w:frame="1"/>
          <w:lang w:eastAsia="bg-BG"/>
        </w:rPr>
        <w:t>Осигурен</w:t>
      </w:r>
      <w:r w:rsidR="00F04768">
        <w:rPr>
          <w:rFonts w:ascii="Times New Roman" w:eastAsia="Times New Roman" w:hAnsi="Times New Roman"/>
          <w:bCs/>
          <w:sz w:val="24"/>
          <w:szCs w:val="24"/>
          <w:bdr w:val="none" w:sz="0" w:space="0" w:color="auto" w:frame="1"/>
          <w:lang w:eastAsia="bg-BG"/>
        </w:rPr>
        <w:t>о</w:t>
      </w:r>
      <w:r w:rsidRPr="005563F6">
        <w:rPr>
          <w:rFonts w:ascii="Times New Roman" w:eastAsia="Times New Roman" w:hAnsi="Times New Roman"/>
          <w:bCs/>
          <w:sz w:val="24"/>
          <w:szCs w:val="24"/>
          <w:bdr w:val="none" w:sz="0" w:space="0" w:color="auto" w:frame="1"/>
          <w:lang w:eastAsia="bg-BG"/>
        </w:rPr>
        <w:t xml:space="preserve"> е засичане на нарушителите</w:t>
      </w:r>
      <w:r w:rsidR="00F04768">
        <w:rPr>
          <w:rFonts w:ascii="Times New Roman" w:eastAsia="Times New Roman" w:hAnsi="Times New Roman"/>
          <w:bCs/>
          <w:sz w:val="24"/>
          <w:szCs w:val="24"/>
          <w:bdr w:val="none" w:sz="0" w:space="0" w:color="auto" w:frame="1"/>
          <w:lang w:eastAsia="bg-BG"/>
        </w:rPr>
        <w:t>,</w:t>
      </w:r>
      <w:r w:rsidRPr="005563F6">
        <w:rPr>
          <w:rFonts w:ascii="Times New Roman" w:eastAsia="Times New Roman" w:hAnsi="Times New Roman"/>
          <w:bCs/>
          <w:sz w:val="24"/>
          <w:szCs w:val="24"/>
          <w:bdr w:val="none" w:sz="0" w:space="0" w:color="auto" w:frame="1"/>
          <w:lang w:eastAsia="bg-BG"/>
        </w:rPr>
        <w:t xml:space="preserve"> навлизащи в зоните с ниски емисии.</w:t>
      </w:r>
      <w:r w:rsidR="00BF4D02">
        <w:rPr>
          <w:rFonts w:ascii="Times New Roman" w:eastAsia="Times New Roman" w:hAnsi="Times New Roman"/>
          <w:bCs/>
          <w:sz w:val="24"/>
          <w:szCs w:val="24"/>
          <w:bdr w:val="none" w:sz="0" w:space="0" w:color="auto" w:frame="1"/>
          <w:lang w:eastAsia="bg-BG"/>
        </w:rPr>
        <w:t xml:space="preserve"> </w:t>
      </w:r>
      <w:r w:rsidR="00005D5C">
        <w:rPr>
          <w:rFonts w:ascii="Times New Roman" w:eastAsia="Times New Roman" w:hAnsi="Times New Roman"/>
          <w:bCs/>
          <w:sz w:val="24"/>
          <w:szCs w:val="24"/>
          <w:bdr w:val="none" w:sz="0" w:space="0" w:color="auto" w:frame="1"/>
          <w:lang w:eastAsia="bg-BG"/>
        </w:rPr>
        <w:t xml:space="preserve">По </w:t>
      </w:r>
      <w:r w:rsidR="00005D5C" w:rsidRPr="00005D5C">
        <w:rPr>
          <w:rFonts w:ascii="Times New Roman" w:eastAsia="Times New Roman" w:hAnsi="Times New Roman"/>
          <w:bCs/>
          <w:sz w:val="24"/>
          <w:szCs w:val="24"/>
          <w:bdr w:val="none" w:sz="0" w:space="0" w:color="auto" w:frame="1"/>
          <w:lang w:eastAsia="bg-BG"/>
        </w:rPr>
        <w:t>мярката</w:t>
      </w:r>
      <w:r w:rsidRPr="00005D5C">
        <w:rPr>
          <w:rFonts w:ascii="Times New Roman" w:eastAsia="Times New Roman" w:hAnsi="Times New Roman"/>
          <w:bCs/>
          <w:i/>
          <w:sz w:val="24"/>
          <w:szCs w:val="24"/>
          <w:bdr w:val="none" w:sz="0" w:space="0" w:color="auto" w:frame="1"/>
          <w:lang w:eastAsia="bg-BG"/>
        </w:rPr>
        <w:t xml:space="preserve"> 54-Sf-о-St-Мt-Lt </w:t>
      </w:r>
      <w:r w:rsidR="00005D5C" w:rsidRPr="00005D5C">
        <w:rPr>
          <w:rFonts w:ascii="Times New Roman" w:eastAsia="Times New Roman" w:hAnsi="Times New Roman"/>
          <w:bCs/>
          <w:sz w:val="24"/>
          <w:szCs w:val="24"/>
          <w:bdr w:val="none" w:sz="0" w:space="0" w:color="auto" w:frame="1"/>
          <w:lang w:eastAsia="bg-BG"/>
        </w:rPr>
        <w:t>от общинската програма</w:t>
      </w:r>
      <w:r w:rsidR="00005D5C" w:rsidRPr="00005D5C">
        <w:rPr>
          <w:rFonts w:ascii="Times New Roman" w:eastAsia="Times New Roman" w:hAnsi="Times New Roman"/>
          <w:bCs/>
          <w:i/>
          <w:sz w:val="24"/>
          <w:szCs w:val="24"/>
          <w:bdr w:val="none" w:sz="0" w:space="0" w:color="auto" w:frame="1"/>
          <w:lang w:eastAsia="bg-BG"/>
        </w:rPr>
        <w:t xml:space="preserve"> </w:t>
      </w:r>
      <w:r w:rsidRPr="00005D5C">
        <w:rPr>
          <w:rFonts w:ascii="Times New Roman" w:eastAsia="Times New Roman" w:hAnsi="Times New Roman"/>
          <w:bCs/>
          <w:i/>
          <w:sz w:val="24"/>
          <w:szCs w:val="24"/>
          <w:bdr w:val="none" w:sz="0" w:space="0" w:color="auto" w:frame="1"/>
          <w:lang w:eastAsia="bg-BG"/>
        </w:rPr>
        <w:t>„Осигуряване на минимум</w:t>
      </w:r>
      <w:r w:rsidRPr="00005D5C">
        <w:rPr>
          <w:rFonts w:ascii="Times New Roman" w:eastAsia="Times New Roman" w:hAnsi="Times New Roman"/>
          <w:bCs/>
          <w:i/>
          <w:iCs/>
          <w:sz w:val="24"/>
          <w:szCs w:val="24"/>
          <w:bdr w:val="none" w:sz="0" w:space="0" w:color="auto" w:frame="1"/>
          <w:lang w:eastAsia="bg-BG"/>
        </w:rPr>
        <w:t xml:space="preserve"> шест щатни бройки и поддържането им до края на програмата (в случай, че е въведена в действие зоната с ниски емисии от транспорта и контролът на зоните с ниски емисии от транспорт се възложи чрез ЗЧАВ на общините)“ </w:t>
      </w:r>
      <w:r w:rsidR="00005D5C" w:rsidRPr="00005D5C">
        <w:rPr>
          <w:rFonts w:ascii="Times New Roman" w:eastAsia="Times New Roman" w:hAnsi="Times New Roman"/>
          <w:bCs/>
          <w:sz w:val="24"/>
          <w:szCs w:val="24"/>
          <w:bdr w:val="none" w:sz="0" w:space="0" w:color="auto" w:frame="1"/>
          <w:lang w:eastAsia="bg-BG"/>
        </w:rPr>
        <w:t>–</w:t>
      </w:r>
      <w:r w:rsidRPr="00005D5C">
        <w:rPr>
          <w:rFonts w:ascii="Times New Roman" w:eastAsia="Times New Roman" w:hAnsi="Times New Roman"/>
          <w:bCs/>
          <w:sz w:val="24"/>
          <w:szCs w:val="24"/>
          <w:bdr w:val="none" w:sz="0" w:space="0" w:color="auto" w:frame="1"/>
          <w:lang w:eastAsia="bg-BG"/>
        </w:rPr>
        <w:t xml:space="preserve"> </w:t>
      </w:r>
      <w:r w:rsidR="00005D5C" w:rsidRPr="00005D5C">
        <w:rPr>
          <w:rFonts w:ascii="Times New Roman" w:eastAsia="Times New Roman" w:hAnsi="Times New Roman"/>
          <w:bCs/>
          <w:sz w:val="24"/>
          <w:szCs w:val="24"/>
          <w:bdr w:val="none" w:sz="0" w:space="0" w:color="auto" w:frame="1"/>
          <w:lang w:eastAsia="bg-BG"/>
        </w:rPr>
        <w:t>по информация от общината и</w:t>
      </w:r>
      <w:r w:rsidRPr="00005D5C">
        <w:rPr>
          <w:rFonts w:ascii="Times New Roman" w:eastAsia="Times New Roman" w:hAnsi="Times New Roman"/>
          <w:bCs/>
          <w:sz w:val="24"/>
          <w:szCs w:val="24"/>
          <w:bdr w:val="none" w:sz="0" w:space="0" w:color="auto" w:frame="1"/>
          <w:lang w:eastAsia="bg-BG"/>
        </w:rPr>
        <w:t>зпълнението на мярката може да започне след осигуряване на финансови средства</w:t>
      </w:r>
      <w:r w:rsidR="00005D5C" w:rsidRPr="00005D5C">
        <w:rPr>
          <w:rFonts w:ascii="Times New Roman" w:eastAsia="Times New Roman" w:hAnsi="Times New Roman"/>
          <w:bCs/>
          <w:sz w:val="24"/>
          <w:szCs w:val="24"/>
          <w:bdr w:val="none" w:sz="0" w:space="0" w:color="auto" w:frame="1"/>
          <w:lang w:eastAsia="bg-BG"/>
        </w:rPr>
        <w:t>.</w:t>
      </w:r>
    </w:p>
    <w:p w14:paraId="3ABFCA31" w14:textId="2A4EF431" w:rsidR="00DF777A" w:rsidRPr="005F71F4" w:rsidRDefault="0000517B"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5F71F4">
        <w:rPr>
          <w:rFonts w:ascii="Times New Roman" w:eastAsia="Times New Roman" w:hAnsi="Times New Roman"/>
          <w:bCs/>
          <w:sz w:val="24"/>
          <w:szCs w:val="24"/>
          <w:bdr w:val="none" w:sz="0" w:space="0" w:color="auto" w:frame="1"/>
          <w:lang w:eastAsia="bg-BG"/>
        </w:rPr>
        <w:t>По отношение на въвеждане на Зони с ниски емисии за транспорта на територията на община Пловдив</w:t>
      </w:r>
      <w:r w:rsidR="00E72C07">
        <w:rPr>
          <w:rFonts w:ascii="Times New Roman" w:eastAsia="Times New Roman" w:hAnsi="Times New Roman"/>
          <w:bCs/>
          <w:sz w:val="24"/>
          <w:szCs w:val="24"/>
          <w:bdr w:val="none" w:sz="0" w:space="0" w:color="auto" w:frame="1"/>
          <w:lang w:eastAsia="bg-BG"/>
        </w:rPr>
        <w:t xml:space="preserve"> е разработена Методика </w:t>
      </w:r>
      <w:r w:rsidR="00E72C07" w:rsidRPr="00E72C07">
        <w:rPr>
          <w:rFonts w:ascii="Times New Roman" w:eastAsia="Times New Roman" w:hAnsi="Times New Roman"/>
          <w:bCs/>
          <w:sz w:val="24"/>
          <w:szCs w:val="24"/>
          <w:bdr w:val="none" w:sz="0" w:space="0" w:color="auto" w:frame="1"/>
          <w:lang w:eastAsia="bg-BG"/>
        </w:rPr>
        <w:t>за въвеждане на зони с ниски емисии на територията на община Пловдив</w:t>
      </w:r>
      <w:r w:rsidR="00E72C07">
        <w:rPr>
          <w:rFonts w:ascii="Times New Roman" w:eastAsia="Times New Roman" w:hAnsi="Times New Roman"/>
          <w:bCs/>
          <w:sz w:val="24"/>
          <w:szCs w:val="24"/>
          <w:bdr w:val="none" w:sz="0" w:space="0" w:color="auto" w:frame="1"/>
          <w:lang w:eastAsia="bg-BG"/>
        </w:rPr>
        <w:t>, която е приета с Решение № 432, взето с Протокол №18 от 13.10.2022г. на Общинския съвет – Пловдив.</w:t>
      </w:r>
    </w:p>
    <w:p w14:paraId="6ABC94D6" w14:textId="006965E1" w:rsidR="004A063B" w:rsidRPr="005F71F4" w:rsidRDefault="00502FC7"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5F71F4">
        <w:rPr>
          <w:rFonts w:ascii="Times New Roman" w:eastAsia="Times New Roman" w:hAnsi="Times New Roman"/>
          <w:bCs/>
          <w:sz w:val="24"/>
          <w:szCs w:val="24"/>
          <w:bdr w:val="none" w:sz="0" w:space="0" w:color="auto" w:frame="1"/>
          <w:lang w:eastAsia="bg-BG"/>
        </w:rPr>
        <w:t xml:space="preserve">В плана за действие към </w:t>
      </w:r>
      <w:r w:rsidRPr="009D3D46">
        <w:rPr>
          <w:rFonts w:ascii="Times New Roman" w:eastAsia="Times New Roman" w:hAnsi="Times New Roman"/>
          <w:bCs/>
          <w:i/>
          <w:sz w:val="24"/>
          <w:szCs w:val="24"/>
          <w:bdr w:val="none" w:sz="0" w:space="0" w:color="auto" w:frame="1"/>
          <w:lang w:eastAsia="bg-BG"/>
        </w:rPr>
        <w:t>Програмата за качество на атмосферния въздух по показател ФПЧ</w:t>
      </w:r>
      <w:r w:rsidRPr="009D3D46">
        <w:rPr>
          <w:rFonts w:ascii="Times New Roman" w:eastAsia="Times New Roman" w:hAnsi="Times New Roman"/>
          <w:bCs/>
          <w:i/>
          <w:sz w:val="24"/>
          <w:szCs w:val="24"/>
          <w:bdr w:val="none" w:sz="0" w:space="0" w:color="auto" w:frame="1"/>
          <w:vertAlign w:val="subscript"/>
          <w:lang w:eastAsia="bg-BG"/>
        </w:rPr>
        <w:t xml:space="preserve">10 </w:t>
      </w:r>
      <w:r w:rsidRPr="009D3D46">
        <w:rPr>
          <w:rFonts w:ascii="Times New Roman" w:eastAsia="Times New Roman" w:hAnsi="Times New Roman"/>
          <w:bCs/>
          <w:i/>
          <w:sz w:val="24"/>
          <w:szCs w:val="24"/>
          <w:bdr w:val="none" w:sz="0" w:space="0" w:color="auto" w:frame="1"/>
          <w:lang w:eastAsia="bg-BG"/>
        </w:rPr>
        <w:t>и ФПЧ</w:t>
      </w:r>
      <w:r w:rsidRPr="009D3D46">
        <w:rPr>
          <w:rFonts w:ascii="Times New Roman" w:eastAsia="Times New Roman" w:hAnsi="Times New Roman"/>
          <w:bCs/>
          <w:i/>
          <w:sz w:val="24"/>
          <w:szCs w:val="24"/>
          <w:bdr w:val="none" w:sz="0" w:space="0" w:color="auto" w:frame="1"/>
          <w:vertAlign w:val="subscript"/>
          <w:lang w:eastAsia="bg-BG"/>
        </w:rPr>
        <w:t>2,5</w:t>
      </w:r>
      <w:r w:rsidRPr="009D3D46">
        <w:rPr>
          <w:rFonts w:ascii="Times New Roman" w:eastAsia="Times New Roman" w:hAnsi="Times New Roman"/>
          <w:bCs/>
          <w:i/>
          <w:sz w:val="24"/>
          <w:szCs w:val="24"/>
          <w:bdr w:val="none" w:sz="0" w:space="0" w:color="auto" w:frame="1"/>
          <w:lang w:eastAsia="bg-BG"/>
        </w:rPr>
        <w:t xml:space="preserve"> на Община Русе </w:t>
      </w:r>
      <w:r w:rsidR="00140218" w:rsidRPr="009D3D46">
        <w:rPr>
          <w:rFonts w:ascii="Times New Roman" w:eastAsia="Times New Roman" w:hAnsi="Times New Roman"/>
          <w:bCs/>
          <w:i/>
          <w:sz w:val="24"/>
          <w:szCs w:val="24"/>
          <w:bdr w:val="none" w:sz="0" w:space="0" w:color="auto" w:frame="1"/>
          <w:lang w:eastAsia="bg-BG"/>
        </w:rPr>
        <w:t>за периода 2021 – 2026г.</w:t>
      </w:r>
      <w:r w:rsidR="00140218" w:rsidRPr="005F71F4">
        <w:rPr>
          <w:rFonts w:ascii="Times New Roman" w:eastAsia="Times New Roman" w:hAnsi="Times New Roman"/>
          <w:bCs/>
          <w:sz w:val="24"/>
          <w:szCs w:val="24"/>
          <w:bdr w:val="none" w:sz="0" w:space="0" w:color="auto" w:frame="1"/>
          <w:lang w:eastAsia="bg-BG"/>
        </w:rPr>
        <w:t xml:space="preserve"> е заложена мярка </w:t>
      </w:r>
      <w:r w:rsidR="00140218" w:rsidRPr="005F71F4">
        <w:rPr>
          <w:rFonts w:ascii="Times New Roman" w:eastAsia="Times New Roman" w:hAnsi="Times New Roman"/>
          <w:bCs/>
          <w:sz w:val="24"/>
          <w:szCs w:val="24"/>
          <w:bdr w:val="none" w:sz="0" w:space="0" w:color="auto" w:frame="1"/>
          <w:lang w:eastAsia="bg-BG"/>
        </w:rPr>
        <w:lastRenderedPageBreak/>
        <w:t xml:space="preserve">„Въвеждане на зона/и с ниски емисии и ограничаване на движението на МПС по определени улици“. </w:t>
      </w:r>
      <w:r w:rsidR="0083178C">
        <w:rPr>
          <w:rFonts w:ascii="Times New Roman" w:eastAsia="Times New Roman" w:hAnsi="Times New Roman"/>
          <w:bCs/>
          <w:sz w:val="24"/>
          <w:szCs w:val="24"/>
          <w:bdr w:val="none" w:sz="0" w:space="0" w:color="auto" w:frame="1"/>
          <w:lang w:eastAsia="bg-BG"/>
        </w:rPr>
        <w:t>През 2023г. са проведени срещи за проучване на техническите параметри на устройства за контрол и проследяване на навлизащите МПС в зоната. Предвидено е закупуването на камери за видеонаблюдение, които да бъдат поставени в обхвата на зоната.</w:t>
      </w:r>
    </w:p>
    <w:p w14:paraId="5FA6CA2E" w14:textId="4809A84E" w:rsidR="009D364E" w:rsidRPr="005F71F4" w:rsidRDefault="009D364E"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5F71F4">
        <w:rPr>
          <w:rFonts w:ascii="Times New Roman" w:eastAsia="Times New Roman" w:hAnsi="Times New Roman"/>
          <w:bCs/>
          <w:sz w:val="24"/>
          <w:szCs w:val="24"/>
          <w:bdr w:val="none" w:sz="0" w:space="0" w:color="auto" w:frame="1"/>
          <w:lang w:eastAsia="bg-BG"/>
        </w:rPr>
        <w:t xml:space="preserve">В плана за действие към </w:t>
      </w:r>
      <w:r w:rsidRPr="009D3D46">
        <w:rPr>
          <w:rFonts w:ascii="Times New Roman" w:eastAsia="Times New Roman" w:hAnsi="Times New Roman"/>
          <w:bCs/>
          <w:i/>
          <w:sz w:val="24"/>
          <w:szCs w:val="24"/>
          <w:bdr w:val="none" w:sz="0" w:space="0" w:color="auto" w:frame="1"/>
          <w:lang w:eastAsia="bg-BG"/>
        </w:rPr>
        <w:t>Програмата за подобряване на КАВ на община Бургас</w:t>
      </w:r>
      <w:r w:rsidR="00583B68" w:rsidRPr="005F71F4">
        <w:rPr>
          <w:rFonts w:ascii="Times New Roman" w:eastAsia="Times New Roman" w:hAnsi="Times New Roman"/>
          <w:bCs/>
          <w:sz w:val="24"/>
          <w:szCs w:val="24"/>
          <w:bdr w:val="none" w:sz="0" w:space="0" w:color="auto" w:frame="1"/>
          <w:lang w:eastAsia="bg-BG"/>
        </w:rPr>
        <w:t xml:space="preserve"> е заложена мярка „Въвеждане на зона с ниски емисии на вредни вещества от транспорта „ЦГЧ“ – първи етап – при необходимост и „Въвеждане на зона/и с ниски емисии и ограничаване движението на МПС по определени улици – втори етап – при необходимост“. </w:t>
      </w:r>
      <w:r w:rsidR="00AD4034">
        <w:rPr>
          <w:rFonts w:ascii="Times New Roman" w:eastAsia="Times New Roman" w:hAnsi="Times New Roman"/>
          <w:bCs/>
          <w:sz w:val="24"/>
          <w:szCs w:val="24"/>
          <w:bdr w:val="none" w:sz="0" w:space="0" w:color="auto" w:frame="1"/>
          <w:lang w:eastAsia="bg-BG"/>
        </w:rPr>
        <w:t>О</w:t>
      </w:r>
      <w:r w:rsidR="00583B68" w:rsidRPr="005F71F4">
        <w:rPr>
          <w:rFonts w:ascii="Times New Roman" w:eastAsia="Times New Roman" w:hAnsi="Times New Roman"/>
          <w:bCs/>
          <w:sz w:val="24"/>
          <w:szCs w:val="24"/>
          <w:bdr w:val="none" w:sz="0" w:space="0" w:color="auto" w:frame="1"/>
          <w:lang w:eastAsia="bg-BG"/>
        </w:rPr>
        <w:t xml:space="preserve">бщината е подала информация, че данните от автоматичните и </w:t>
      </w:r>
      <w:r w:rsidR="00F04768">
        <w:rPr>
          <w:rFonts w:ascii="Times New Roman" w:eastAsia="Times New Roman" w:hAnsi="Times New Roman"/>
          <w:bCs/>
          <w:sz w:val="24"/>
          <w:szCs w:val="24"/>
          <w:bdr w:val="none" w:sz="0" w:space="0" w:color="auto" w:frame="1"/>
          <w:lang w:eastAsia="bg-BG"/>
        </w:rPr>
        <w:t xml:space="preserve">от </w:t>
      </w:r>
      <w:r w:rsidR="00583B68" w:rsidRPr="005F71F4">
        <w:rPr>
          <w:rFonts w:ascii="Times New Roman" w:eastAsia="Times New Roman" w:hAnsi="Times New Roman"/>
          <w:bCs/>
          <w:sz w:val="24"/>
          <w:szCs w:val="24"/>
          <w:bdr w:val="none" w:sz="0" w:space="0" w:color="auto" w:frame="1"/>
          <w:lang w:eastAsia="bg-BG"/>
        </w:rPr>
        <w:t xml:space="preserve">мобилната измервателни станции за КАВ не </w:t>
      </w:r>
      <w:proofErr w:type="spellStart"/>
      <w:r w:rsidR="00583B68" w:rsidRPr="005F71F4">
        <w:rPr>
          <w:rFonts w:ascii="Times New Roman" w:eastAsia="Times New Roman" w:hAnsi="Times New Roman"/>
          <w:bCs/>
          <w:sz w:val="24"/>
          <w:szCs w:val="24"/>
          <w:bdr w:val="none" w:sz="0" w:space="0" w:color="auto" w:frame="1"/>
          <w:lang w:eastAsia="bg-BG"/>
        </w:rPr>
        <w:t>индикират</w:t>
      </w:r>
      <w:proofErr w:type="spellEnd"/>
      <w:r w:rsidR="00583B68" w:rsidRPr="005F71F4">
        <w:rPr>
          <w:rFonts w:ascii="Times New Roman" w:eastAsia="Times New Roman" w:hAnsi="Times New Roman"/>
          <w:bCs/>
          <w:sz w:val="24"/>
          <w:szCs w:val="24"/>
          <w:bdr w:val="none" w:sz="0" w:space="0" w:color="auto" w:frame="1"/>
          <w:lang w:eastAsia="bg-BG"/>
        </w:rPr>
        <w:t xml:space="preserve"> необходимост от въвеждане на ЗНЕ от транспорта.</w:t>
      </w:r>
    </w:p>
    <w:p w14:paraId="1CA72AE4" w14:textId="56A2347C" w:rsidR="00FB1F65" w:rsidRDefault="00755A70" w:rsidP="00FB1F65">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bidi="bg-BG"/>
        </w:rPr>
        <w:t xml:space="preserve">Със </w:t>
      </w:r>
      <w:r w:rsidR="00FB1F65" w:rsidRPr="00FB1F65">
        <w:rPr>
          <w:rFonts w:ascii="Times New Roman" w:eastAsia="Times New Roman" w:hAnsi="Times New Roman"/>
          <w:bCs/>
          <w:sz w:val="24"/>
          <w:szCs w:val="24"/>
          <w:bdr w:val="none" w:sz="0" w:space="0" w:color="auto" w:frame="1"/>
          <w:lang w:eastAsia="bg-BG" w:bidi="bg-BG"/>
        </w:rPr>
        <w:t xml:space="preserve">Заповед на кмета на Община Варна от 2022г. е сформирана комисия от експерти за обсъждане на необходимостта от създаване на Зона с ниски емисии на вредни вещества в атмосферния въздух от транспорта на територията на община Варна, както и възможностите за </w:t>
      </w:r>
      <w:r>
        <w:rPr>
          <w:rFonts w:ascii="Times New Roman" w:eastAsia="Times New Roman" w:hAnsi="Times New Roman"/>
          <w:bCs/>
          <w:sz w:val="24"/>
          <w:szCs w:val="24"/>
          <w:bdr w:val="none" w:sz="0" w:space="0" w:color="auto" w:frame="1"/>
          <w:lang w:eastAsia="bg-BG" w:bidi="bg-BG"/>
        </w:rPr>
        <w:t xml:space="preserve">нейното </w:t>
      </w:r>
      <w:r w:rsidR="00FB1F65" w:rsidRPr="00FB1F65">
        <w:rPr>
          <w:rFonts w:ascii="Times New Roman" w:eastAsia="Times New Roman" w:hAnsi="Times New Roman"/>
          <w:bCs/>
          <w:sz w:val="24"/>
          <w:szCs w:val="24"/>
          <w:bdr w:val="none" w:sz="0" w:space="0" w:color="auto" w:frame="1"/>
          <w:lang w:eastAsia="bg-BG" w:bidi="bg-BG"/>
        </w:rPr>
        <w:t>въвеждане. Въз основа на направените констатации</w:t>
      </w:r>
      <w:r>
        <w:rPr>
          <w:rFonts w:ascii="Times New Roman" w:eastAsia="Times New Roman" w:hAnsi="Times New Roman"/>
          <w:bCs/>
          <w:sz w:val="24"/>
          <w:szCs w:val="24"/>
          <w:bdr w:val="none" w:sz="0" w:space="0" w:color="auto" w:frame="1"/>
          <w:lang w:eastAsia="bg-BG" w:bidi="bg-BG"/>
        </w:rPr>
        <w:t xml:space="preserve"> и становища в </w:t>
      </w:r>
      <w:r w:rsidR="00FB1F65" w:rsidRPr="00FB1F65">
        <w:rPr>
          <w:rFonts w:ascii="Times New Roman" w:eastAsia="Times New Roman" w:hAnsi="Times New Roman"/>
          <w:bCs/>
          <w:sz w:val="24"/>
          <w:szCs w:val="24"/>
          <w:bdr w:val="none" w:sz="0" w:space="0" w:color="auto" w:frame="1"/>
          <w:lang w:eastAsia="bg-BG" w:bidi="bg-BG"/>
        </w:rPr>
        <w:t>комисия по „Опазване и възпроизводство на окол</w:t>
      </w:r>
      <w:r>
        <w:rPr>
          <w:rFonts w:ascii="Times New Roman" w:eastAsia="Times New Roman" w:hAnsi="Times New Roman"/>
          <w:bCs/>
          <w:sz w:val="24"/>
          <w:szCs w:val="24"/>
          <w:bdr w:val="none" w:sz="0" w:space="0" w:color="auto" w:frame="1"/>
          <w:lang w:eastAsia="bg-BG" w:bidi="bg-BG"/>
        </w:rPr>
        <w:t xml:space="preserve">ната среда“ към Общински съвет – Варна е внесено предложение за </w:t>
      </w:r>
      <w:r w:rsidR="00FB1F65" w:rsidRPr="00FB1F65">
        <w:rPr>
          <w:rFonts w:ascii="Times New Roman" w:eastAsia="Times New Roman" w:hAnsi="Times New Roman"/>
          <w:bCs/>
          <w:sz w:val="24"/>
          <w:szCs w:val="24"/>
          <w:bdr w:val="none" w:sz="0" w:space="0" w:color="auto" w:frame="1"/>
          <w:lang w:eastAsia="bg-BG" w:bidi="bg-BG"/>
        </w:rPr>
        <w:t>разглеждане на условията и реда за въвеждане/създаване на зона с ниски емисии</w:t>
      </w:r>
      <w:r>
        <w:rPr>
          <w:rFonts w:ascii="Times New Roman" w:eastAsia="Times New Roman" w:hAnsi="Times New Roman"/>
          <w:bCs/>
          <w:sz w:val="24"/>
          <w:szCs w:val="24"/>
          <w:bdr w:val="none" w:sz="0" w:space="0" w:color="auto" w:frame="1"/>
          <w:lang w:eastAsia="bg-BG" w:bidi="bg-BG"/>
        </w:rPr>
        <w:t xml:space="preserve"> от</w:t>
      </w:r>
      <w:r w:rsidR="00FB1F65" w:rsidRPr="00FB1F65">
        <w:rPr>
          <w:rFonts w:ascii="Times New Roman" w:eastAsia="Times New Roman" w:hAnsi="Times New Roman"/>
          <w:bCs/>
          <w:sz w:val="24"/>
          <w:szCs w:val="24"/>
          <w:bdr w:val="none" w:sz="0" w:space="0" w:color="auto" w:frame="1"/>
          <w:lang w:eastAsia="bg-BG" w:bidi="bg-BG"/>
        </w:rPr>
        <w:t xml:space="preserve"> транспорта на територията на община Варна. </w:t>
      </w:r>
      <w:r w:rsidR="008F755D">
        <w:rPr>
          <w:rFonts w:ascii="Times New Roman" w:eastAsia="Times New Roman" w:hAnsi="Times New Roman"/>
          <w:bCs/>
          <w:sz w:val="24"/>
          <w:szCs w:val="24"/>
          <w:bdr w:val="none" w:sz="0" w:space="0" w:color="auto" w:frame="1"/>
          <w:lang w:eastAsia="bg-BG" w:bidi="bg-BG"/>
        </w:rPr>
        <w:t xml:space="preserve">Предложението предстои </w:t>
      </w:r>
      <w:r w:rsidR="00FB1F65" w:rsidRPr="00FB1F65">
        <w:rPr>
          <w:rFonts w:ascii="Times New Roman" w:eastAsia="Times New Roman" w:hAnsi="Times New Roman"/>
          <w:bCs/>
          <w:sz w:val="24"/>
          <w:szCs w:val="24"/>
          <w:bdr w:val="none" w:sz="0" w:space="0" w:color="auto" w:frame="1"/>
          <w:lang w:eastAsia="bg-BG" w:bidi="bg-BG"/>
        </w:rPr>
        <w:t>да бъде обсъдено от Общински съвет</w:t>
      </w:r>
      <w:r w:rsidR="008F755D">
        <w:rPr>
          <w:rFonts w:ascii="Times New Roman" w:eastAsia="Times New Roman" w:hAnsi="Times New Roman"/>
          <w:bCs/>
          <w:sz w:val="24"/>
          <w:szCs w:val="24"/>
          <w:bdr w:val="none" w:sz="0" w:space="0" w:color="auto" w:frame="1"/>
          <w:lang w:eastAsia="bg-BG" w:bidi="bg-BG"/>
        </w:rPr>
        <w:t xml:space="preserve"> </w:t>
      </w:r>
      <w:r w:rsidR="00F22CCA">
        <w:rPr>
          <w:rFonts w:ascii="Times New Roman" w:eastAsia="Times New Roman" w:hAnsi="Times New Roman"/>
          <w:bCs/>
          <w:sz w:val="24"/>
          <w:szCs w:val="24"/>
          <w:bdr w:val="none" w:sz="0" w:space="0" w:color="auto" w:frame="1"/>
          <w:lang w:eastAsia="bg-BG" w:bidi="bg-BG"/>
        </w:rPr>
        <w:t>–</w:t>
      </w:r>
      <w:r w:rsidR="008F755D">
        <w:rPr>
          <w:rFonts w:ascii="Times New Roman" w:eastAsia="Times New Roman" w:hAnsi="Times New Roman"/>
          <w:bCs/>
          <w:sz w:val="24"/>
          <w:szCs w:val="24"/>
          <w:bdr w:val="none" w:sz="0" w:space="0" w:color="auto" w:frame="1"/>
          <w:lang w:eastAsia="bg-BG" w:bidi="bg-BG"/>
        </w:rPr>
        <w:t xml:space="preserve"> </w:t>
      </w:r>
      <w:r w:rsidR="00FB1F65" w:rsidRPr="00FB1F65">
        <w:rPr>
          <w:rFonts w:ascii="Times New Roman" w:eastAsia="Times New Roman" w:hAnsi="Times New Roman"/>
          <w:bCs/>
          <w:sz w:val="24"/>
          <w:szCs w:val="24"/>
          <w:bdr w:val="none" w:sz="0" w:space="0" w:color="auto" w:frame="1"/>
          <w:lang w:eastAsia="bg-BG" w:bidi="bg-BG"/>
        </w:rPr>
        <w:t>Варна.</w:t>
      </w:r>
    </w:p>
    <w:p w14:paraId="1A8A9360" w14:textId="77777777" w:rsidR="00F04768" w:rsidRDefault="00B73AF6"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B73AF6">
        <w:rPr>
          <w:rFonts w:ascii="Times New Roman" w:eastAsia="Times New Roman" w:hAnsi="Times New Roman"/>
          <w:bCs/>
          <w:sz w:val="24"/>
          <w:szCs w:val="24"/>
          <w:bdr w:val="none" w:sz="0" w:space="0" w:color="auto" w:frame="1"/>
          <w:lang w:eastAsia="bg-BG"/>
        </w:rPr>
        <w:t>Според информация от община Стара Загора</w:t>
      </w:r>
      <w:r w:rsidR="00F04768">
        <w:rPr>
          <w:rFonts w:ascii="Times New Roman" w:eastAsia="Times New Roman" w:hAnsi="Times New Roman"/>
          <w:bCs/>
          <w:sz w:val="24"/>
          <w:szCs w:val="24"/>
          <w:bdr w:val="none" w:sz="0" w:space="0" w:color="auto" w:frame="1"/>
          <w:lang w:eastAsia="bg-BG"/>
        </w:rPr>
        <w:t>,</w:t>
      </w:r>
      <w:r>
        <w:rPr>
          <w:rFonts w:ascii="Times New Roman" w:eastAsia="Times New Roman" w:hAnsi="Times New Roman"/>
          <w:bCs/>
          <w:sz w:val="24"/>
          <w:szCs w:val="24"/>
          <w:bdr w:val="none" w:sz="0" w:space="0" w:color="auto" w:frame="1"/>
          <w:lang w:eastAsia="bg-BG"/>
        </w:rPr>
        <w:t xml:space="preserve"> няма необходимост и не се предвижда въвеждане на ЗНЕ от транспорт във връзка с изпълнени множество мерки за намаляване на емисиите на ФПЧ</w:t>
      </w:r>
      <w:r w:rsidRPr="00B73AF6">
        <w:rPr>
          <w:rFonts w:ascii="Times New Roman" w:eastAsia="Times New Roman" w:hAnsi="Times New Roman"/>
          <w:bCs/>
          <w:sz w:val="24"/>
          <w:szCs w:val="24"/>
          <w:bdr w:val="none" w:sz="0" w:space="0" w:color="auto" w:frame="1"/>
          <w:vertAlign w:val="subscript"/>
          <w:lang w:eastAsia="bg-BG"/>
        </w:rPr>
        <w:t>10</w:t>
      </w:r>
      <w:r>
        <w:rPr>
          <w:rFonts w:ascii="Times New Roman" w:eastAsia="Times New Roman" w:hAnsi="Times New Roman"/>
          <w:bCs/>
          <w:sz w:val="24"/>
          <w:szCs w:val="24"/>
          <w:bdr w:val="none" w:sz="0" w:space="0" w:color="auto" w:frame="1"/>
          <w:lang w:eastAsia="bg-BG"/>
        </w:rPr>
        <w:t xml:space="preserve"> от транспорта.</w:t>
      </w:r>
      <w:r w:rsidR="00E00650">
        <w:rPr>
          <w:rFonts w:ascii="Times New Roman" w:eastAsia="Times New Roman" w:hAnsi="Times New Roman"/>
          <w:bCs/>
          <w:sz w:val="24"/>
          <w:szCs w:val="24"/>
          <w:bdr w:val="none" w:sz="0" w:space="0" w:color="auto" w:frame="1"/>
          <w:lang w:eastAsia="bg-BG"/>
        </w:rPr>
        <w:t xml:space="preserve"> </w:t>
      </w:r>
    </w:p>
    <w:p w14:paraId="5425410C" w14:textId="5EAFD4FB" w:rsidR="00B73AF6" w:rsidRDefault="005174AC"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В община Перник транспорт</w:t>
      </w:r>
      <w:r w:rsidR="00C64D37">
        <w:rPr>
          <w:rFonts w:ascii="Times New Roman" w:eastAsia="Times New Roman" w:hAnsi="Times New Roman"/>
          <w:bCs/>
          <w:sz w:val="24"/>
          <w:szCs w:val="24"/>
          <w:bdr w:val="none" w:sz="0" w:space="0" w:color="auto" w:frame="1"/>
          <w:lang w:eastAsia="bg-BG"/>
        </w:rPr>
        <w:t>ът</w:t>
      </w:r>
      <w:r>
        <w:rPr>
          <w:rFonts w:ascii="Times New Roman" w:eastAsia="Times New Roman" w:hAnsi="Times New Roman"/>
          <w:bCs/>
          <w:sz w:val="24"/>
          <w:szCs w:val="24"/>
          <w:bdr w:val="none" w:sz="0" w:space="0" w:color="auto" w:frame="1"/>
          <w:lang w:eastAsia="bg-BG"/>
        </w:rPr>
        <w:t xml:space="preserve"> не е основен източник и не са предприемани действия за въвеждане на ЗНЕ за транспорта.</w:t>
      </w:r>
    </w:p>
    <w:p w14:paraId="343D497E" w14:textId="342AC36D" w:rsidR="00B73AF6" w:rsidRPr="00E01533" w:rsidRDefault="00E72719" w:rsidP="00536034">
      <w:pPr>
        <w:spacing w:after="0" w:line="240" w:lineRule="auto"/>
        <w:ind w:firstLine="1134"/>
        <w:jc w:val="both"/>
        <w:rPr>
          <w:rFonts w:ascii="Times New Roman" w:eastAsia="Times New Roman" w:hAnsi="Times New Roman"/>
          <w:bCs/>
          <w:sz w:val="24"/>
          <w:szCs w:val="24"/>
          <w:bdr w:val="none" w:sz="0" w:space="0" w:color="auto" w:frame="1"/>
          <w:lang w:eastAsia="bg-BG" w:bidi="bg-BG"/>
        </w:rPr>
      </w:pPr>
      <w:r w:rsidRPr="00E01533">
        <w:rPr>
          <w:rFonts w:ascii="Times New Roman" w:eastAsia="Times New Roman" w:hAnsi="Times New Roman"/>
          <w:bCs/>
          <w:sz w:val="24"/>
          <w:szCs w:val="24"/>
          <w:bdr w:val="none" w:sz="0" w:space="0" w:color="auto" w:frame="1"/>
          <w:lang w:eastAsia="bg-BG" w:bidi="bg-BG"/>
        </w:rPr>
        <w:t xml:space="preserve">Община Монтана, в общинската си програма за качество на атмосферния въздух има </w:t>
      </w:r>
      <w:r w:rsidR="00536034" w:rsidRPr="00E01533">
        <w:rPr>
          <w:rFonts w:ascii="Times New Roman" w:eastAsia="Times New Roman" w:hAnsi="Times New Roman"/>
          <w:bCs/>
          <w:sz w:val="24"/>
          <w:szCs w:val="24"/>
          <w:bdr w:val="none" w:sz="0" w:space="0" w:color="auto" w:frame="1"/>
          <w:lang w:eastAsia="bg-BG" w:bidi="bg-BG"/>
        </w:rPr>
        <w:t xml:space="preserve">мярка </w:t>
      </w:r>
      <w:r w:rsidRPr="00E01533">
        <w:rPr>
          <w:rFonts w:ascii="Times New Roman" w:eastAsia="Times New Roman" w:hAnsi="Times New Roman"/>
          <w:bCs/>
          <w:sz w:val="24"/>
          <w:szCs w:val="24"/>
          <w:bdr w:val="none" w:sz="0" w:space="0" w:color="auto" w:frame="1"/>
          <w:lang w:eastAsia="bg-BG" w:bidi="bg-BG"/>
        </w:rPr>
        <w:t>„</w:t>
      </w:r>
      <w:r w:rsidR="00536034" w:rsidRPr="00E01533">
        <w:rPr>
          <w:rFonts w:ascii="Times New Roman" w:eastAsia="Times New Roman" w:hAnsi="Times New Roman"/>
          <w:bCs/>
          <w:sz w:val="24"/>
          <w:szCs w:val="24"/>
          <w:bdr w:val="none" w:sz="0" w:space="0" w:color="auto" w:frame="1"/>
          <w:lang w:eastAsia="bg-BG" w:bidi="bg-BG"/>
        </w:rPr>
        <w:t>Изграждане и поддържане на системата за ранно предупреждение за замърсяване</w:t>
      </w:r>
      <w:r w:rsidRPr="00E01533">
        <w:rPr>
          <w:rFonts w:ascii="Times New Roman" w:eastAsia="Times New Roman" w:hAnsi="Times New Roman"/>
          <w:bCs/>
          <w:sz w:val="24"/>
          <w:szCs w:val="24"/>
          <w:bdr w:val="none" w:sz="0" w:space="0" w:color="auto" w:frame="1"/>
          <w:lang w:eastAsia="bg-BG" w:bidi="bg-BG"/>
        </w:rPr>
        <w:t>“, като по нея</w:t>
      </w:r>
      <w:r w:rsidR="00536034" w:rsidRPr="00E01533">
        <w:rPr>
          <w:rFonts w:ascii="Times New Roman" w:eastAsia="Times New Roman" w:hAnsi="Times New Roman"/>
          <w:bCs/>
          <w:sz w:val="24"/>
          <w:szCs w:val="24"/>
          <w:bdr w:val="none" w:sz="0" w:space="0" w:color="auto" w:frame="1"/>
          <w:lang w:eastAsia="bg-BG" w:bidi="bg-BG"/>
        </w:rPr>
        <w:t xml:space="preserve"> е осъществено следното:</w:t>
      </w:r>
      <w:r w:rsidRPr="00E01533">
        <w:rPr>
          <w:rFonts w:ascii="Times New Roman" w:eastAsia="Times New Roman" w:hAnsi="Times New Roman"/>
          <w:bCs/>
          <w:sz w:val="24"/>
          <w:szCs w:val="24"/>
          <w:bdr w:val="none" w:sz="0" w:space="0" w:color="auto" w:frame="1"/>
          <w:lang w:eastAsia="bg-BG" w:bidi="bg-BG"/>
        </w:rPr>
        <w:t xml:space="preserve"> </w:t>
      </w:r>
      <w:r w:rsidR="00536034" w:rsidRPr="00E01533">
        <w:rPr>
          <w:rFonts w:ascii="Times New Roman" w:eastAsia="Times New Roman" w:hAnsi="Times New Roman"/>
          <w:bCs/>
          <w:sz w:val="24"/>
          <w:szCs w:val="24"/>
          <w:bdr w:val="none" w:sz="0" w:space="0" w:color="auto" w:frame="1"/>
          <w:lang w:eastAsia="bg-BG" w:bidi="bg-BG"/>
        </w:rPr>
        <w:t>С Решение № 331 от Протокол № 14/26.11.2020 г. на Общински съвет — Монтана е определено, че разполагайки с информация за превишение на нивата на ФПЧ</w:t>
      </w:r>
      <w:r w:rsidRPr="009C0A84">
        <w:rPr>
          <w:rFonts w:ascii="Times New Roman" w:eastAsia="Times New Roman" w:hAnsi="Times New Roman"/>
          <w:bCs/>
          <w:sz w:val="24"/>
          <w:szCs w:val="24"/>
          <w:bdr w:val="none" w:sz="0" w:space="0" w:color="auto" w:frame="1"/>
          <w:vertAlign w:val="subscript"/>
          <w:lang w:eastAsia="bg-BG" w:bidi="bg-BG"/>
        </w:rPr>
        <w:t>10</w:t>
      </w:r>
      <w:r w:rsidR="00536034" w:rsidRPr="00E01533">
        <w:rPr>
          <w:rFonts w:ascii="Times New Roman" w:eastAsia="Times New Roman" w:hAnsi="Times New Roman"/>
          <w:bCs/>
          <w:sz w:val="24"/>
          <w:szCs w:val="24"/>
          <w:bdr w:val="none" w:sz="0" w:space="0" w:color="auto" w:frame="1"/>
          <w:lang w:eastAsia="bg-BG" w:bidi="bg-BG"/>
        </w:rPr>
        <w:t xml:space="preserve"> в</w:t>
      </w:r>
      <w:r w:rsidRPr="00E01533">
        <w:rPr>
          <w:rFonts w:ascii="Times New Roman" w:eastAsia="Times New Roman" w:hAnsi="Times New Roman"/>
          <w:bCs/>
          <w:sz w:val="24"/>
          <w:szCs w:val="24"/>
          <w:bdr w:val="none" w:sz="0" w:space="0" w:color="auto" w:frame="1"/>
          <w:lang w:eastAsia="bg-BG" w:bidi="bg-BG"/>
        </w:rPr>
        <w:t xml:space="preserve"> </w:t>
      </w:r>
      <w:r w:rsidR="00536034" w:rsidRPr="00E01533">
        <w:rPr>
          <w:rFonts w:ascii="Times New Roman" w:eastAsia="Times New Roman" w:hAnsi="Times New Roman"/>
          <w:bCs/>
          <w:sz w:val="24"/>
          <w:szCs w:val="24"/>
          <w:bdr w:val="none" w:sz="0" w:space="0" w:color="auto" w:frame="1"/>
          <w:lang w:eastAsia="bg-BG" w:bidi="bg-BG"/>
        </w:rPr>
        <w:t xml:space="preserve">три поредни дни, ще се ограничава движението в зона 1 на град Монтана </w:t>
      </w:r>
      <w:r w:rsidR="00F04768">
        <w:rPr>
          <w:rFonts w:ascii="Times New Roman" w:eastAsia="Times New Roman" w:hAnsi="Times New Roman"/>
          <w:bCs/>
          <w:sz w:val="24"/>
          <w:szCs w:val="24"/>
          <w:bdr w:val="none" w:sz="0" w:space="0" w:color="auto" w:frame="1"/>
          <w:lang w:eastAsia="bg-BG" w:bidi="bg-BG"/>
        </w:rPr>
        <w:t>–</w:t>
      </w:r>
      <w:r w:rsidR="00536034" w:rsidRPr="00E01533">
        <w:rPr>
          <w:rFonts w:ascii="Times New Roman" w:eastAsia="Times New Roman" w:hAnsi="Times New Roman"/>
          <w:bCs/>
          <w:sz w:val="24"/>
          <w:szCs w:val="24"/>
          <w:bdr w:val="none" w:sz="0" w:space="0" w:color="auto" w:frame="1"/>
          <w:lang w:eastAsia="bg-BG" w:bidi="bg-BG"/>
        </w:rPr>
        <w:t xml:space="preserve"> Централната градска част до момента на пости</w:t>
      </w:r>
      <w:r w:rsidRPr="00E01533">
        <w:rPr>
          <w:rFonts w:ascii="Times New Roman" w:eastAsia="Times New Roman" w:hAnsi="Times New Roman"/>
          <w:bCs/>
          <w:sz w:val="24"/>
          <w:szCs w:val="24"/>
          <w:bdr w:val="none" w:sz="0" w:space="0" w:color="auto" w:frame="1"/>
          <w:lang w:eastAsia="bg-BG" w:bidi="bg-BG"/>
        </w:rPr>
        <w:t>гане на допустимите нива на ФПЧ</w:t>
      </w:r>
      <w:r w:rsidRPr="009C0A84">
        <w:rPr>
          <w:rFonts w:ascii="Times New Roman" w:eastAsia="Times New Roman" w:hAnsi="Times New Roman"/>
          <w:bCs/>
          <w:sz w:val="24"/>
          <w:szCs w:val="24"/>
          <w:bdr w:val="none" w:sz="0" w:space="0" w:color="auto" w:frame="1"/>
          <w:vertAlign w:val="subscript"/>
          <w:lang w:eastAsia="bg-BG" w:bidi="bg-BG"/>
        </w:rPr>
        <w:t>10</w:t>
      </w:r>
      <w:r w:rsidR="00536034" w:rsidRPr="00E01533">
        <w:rPr>
          <w:rFonts w:ascii="Times New Roman" w:eastAsia="Times New Roman" w:hAnsi="Times New Roman"/>
          <w:bCs/>
          <w:sz w:val="24"/>
          <w:szCs w:val="24"/>
          <w:bdr w:val="none" w:sz="0" w:space="0" w:color="auto" w:frame="1"/>
          <w:lang w:eastAsia="bg-BG" w:bidi="bg-BG"/>
        </w:rPr>
        <w:t xml:space="preserve"> на: пътни превозни средства (ППС), предназначени за превоз на пътници с повече от осем места за сядане, без мястото на водача (автобуси); ППС, предназначени за превоз на товари с две оси и/или, които имат максимално допустима маса по-малка от 12 тона, с изключение на тези ППС, притежаващи специални разрешение за зона 1 </w:t>
      </w:r>
      <w:r w:rsidR="00F04768">
        <w:rPr>
          <w:rFonts w:ascii="Times New Roman" w:eastAsia="Times New Roman" w:hAnsi="Times New Roman"/>
          <w:bCs/>
          <w:sz w:val="24"/>
          <w:szCs w:val="24"/>
          <w:bdr w:val="none" w:sz="0" w:space="0" w:color="auto" w:frame="1"/>
          <w:lang w:eastAsia="bg-BG" w:bidi="bg-BG"/>
        </w:rPr>
        <w:t>–</w:t>
      </w:r>
      <w:r w:rsidR="00536034" w:rsidRPr="00E01533">
        <w:rPr>
          <w:rFonts w:ascii="Times New Roman" w:eastAsia="Times New Roman" w:hAnsi="Times New Roman"/>
          <w:bCs/>
          <w:sz w:val="24"/>
          <w:szCs w:val="24"/>
          <w:bdr w:val="none" w:sz="0" w:space="0" w:color="auto" w:frame="1"/>
          <w:lang w:eastAsia="bg-BG" w:bidi="bg-BG"/>
        </w:rPr>
        <w:t xml:space="preserve"> Централна градска част.</w:t>
      </w:r>
    </w:p>
    <w:p w14:paraId="2E394256" w14:textId="77777777" w:rsidR="00055A7F" w:rsidRDefault="00055A7F" w:rsidP="00536034">
      <w:pPr>
        <w:spacing w:after="0" w:line="240" w:lineRule="auto"/>
        <w:ind w:firstLine="1134"/>
        <w:jc w:val="both"/>
        <w:rPr>
          <w:rFonts w:ascii="Times New Roman" w:eastAsia="Times New Roman" w:hAnsi="Times New Roman"/>
          <w:bCs/>
          <w:sz w:val="24"/>
          <w:szCs w:val="24"/>
          <w:bdr w:val="none" w:sz="0" w:space="0" w:color="auto" w:frame="1"/>
          <w:lang w:eastAsia="bg-BG"/>
        </w:rPr>
      </w:pPr>
      <w:r w:rsidRPr="00E01533">
        <w:rPr>
          <w:rFonts w:ascii="Times New Roman" w:eastAsia="Times New Roman" w:hAnsi="Times New Roman"/>
          <w:bCs/>
          <w:sz w:val="24"/>
          <w:szCs w:val="24"/>
          <w:bdr w:val="none" w:sz="0" w:space="0" w:color="auto" w:frame="1"/>
          <w:lang w:eastAsia="bg-BG" w:bidi="bg-BG"/>
        </w:rPr>
        <w:t>В община Кърджали е въведена забрана за движение на товарни автомобили по определени улици на града.</w:t>
      </w:r>
    </w:p>
    <w:p w14:paraId="65B2B5BB" w14:textId="431B8027" w:rsidR="008F6F2F" w:rsidRPr="005F71F4" w:rsidRDefault="00B44591"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B44591">
        <w:rPr>
          <w:rFonts w:ascii="Times New Roman" w:eastAsia="Times New Roman" w:hAnsi="Times New Roman"/>
          <w:bCs/>
          <w:sz w:val="24"/>
          <w:szCs w:val="24"/>
          <w:bdr w:val="none" w:sz="0" w:space="0" w:color="auto" w:frame="1"/>
          <w:lang w:eastAsia="bg-BG"/>
        </w:rPr>
        <w:t xml:space="preserve">В рамките на приоритет „Въздух“ </w:t>
      </w:r>
      <w:r>
        <w:rPr>
          <w:rFonts w:ascii="Times New Roman" w:eastAsia="Times New Roman" w:hAnsi="Times New Roman"/>
          <w:bCs/>
          <w:sz w:val="24"/>
          <w:szCs w:val="24"/>
          <w:bdr w:val="none" w:sz="0" w:space="0" w:color="auto" w:frame="1"/>
          <w:lang w:eastAsia="bg-BG"/>
        </w:rPr>
        <w:t xml:space="preserve">по ПОС 2021 – 2027г. </w:t>
      </w:r>
      <w:r w:rsidRPr="00B44591">
        <w:rPr>
          <w:rFonts w:ascii="Times New Roman" w:eastAsia="Times New Roman" w:hAnsi="Times New Roman"/>
          <w:bCs/>
          <w:sz w:val="24"/>
          <w:szCs w:val="24"/>
          <w:bdr w:val="none" w:sz="0" w:space="0" w:color="auto" w:frame="1"/>
          <w:lang w:eastAsia="bg-BG"/>
        </w:rPr>
        <w:t xml:space="preserve">е заделен ресурс от 11,7 млн. лв. за създаване на Зони с ниски емисии от транспорт на територията на общините Столична и Пловдив. Предвижда се процедурата за предоставяне на безвъзмездна финансова помощ да бъде отворена през 2025г., при потвърждаване на интерес от страна на потенциалните бенефициенти.  </w:t>
      </w:r>
    </w:p>
    <w:p w14:paraId="2A3766F9" w14:textId="77777777" w:rsidR="00375BC0" w:rsidRDefault="00375BC0" w:rsidP="00375BC0">
      <w:pPr>
        <w:pStyle w:val="ListParagraph"/>
        <w:spacing w:after="0" w:line="240" w:lineRule="auto"/>
        <w:ind w:left="0"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1327"/>
        <w:gridCol w:w="3729"/>
      </w:tblGrid>
      <w:tr w:rsidR="00375BC0" w:rsidRPr="009F0754" w14:paraId="47E1B298" w14:textId="77777777" w:rsidTr="00834D89">
        <w:tc>
          <w:tcPr>
            <w:tcW w:w="4320" w:type="dxa"/>
          </w:tcPr>
          <w:p w14:paraId="2A7625A4" w14:textId="77777777" w:rsidR="00375BC0" w:rsidRPr="009F0754" w:rsidRDefault="00375BC0" w:rsidP="00834D89">
            <w:pPr>
              <w:spacing w:after="0" w:line="240" w:lineRule="auto"/>
              <w:ind w:left="-104"/>
              <w:jc w:val="both"/>
              <w:rPr>
                <w:rFonts w:ascii="Times New Roman" w:eastAsia="Times New Roman" w:hAnsi="Times New Roman"/>
                <w:bCs/>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Показател за изпълнение</w:t>
            </w:r>
            <w:r w:rsidRPr="009F0754">
              <w:rPr>
                <w:rFonts w:ascii="Times New Roman" w:eastAsia="Times New Roman" w:hAnsi="Times New Roman"/>
                <w:bCs/>
                <w:sz w:val="20"/>
                <w:szCs w:val="20"/>
                <w:bdr w:val="none" w:sz="0" w:space="0" w:color="auto" w:frame="1"/>
                <w:lang w:eastAsia="bg-BG"/>
              </w:rPr>
              <w:t xml:space="preserve"> </w:t>
            </w:r>
            <w:r w:rsidRPr="009F0754">
              <w:rPr>
                <w:rFonts w:ascii="Times New Roman" w:eastAsia="Times New Roman" w:hAnsi="Times New Roman"/>
                <w:bCs/>
                <w:i/>
                <w:sz w:val="20"/>
                <w:szCs w:val="20"/>
                <w:bdr w:val="none" w:sz="0" w:space="0" w:color="auto" w:frame="1"/>
                <w:lang w:eastAsia="bg-BG"/>
              </w:rPr>
              <w:t xml:space="preserve">определен в Приложение </w:t>
            </w:r>
            <w:r w:rsidRPr="009F0754">
              <w:rPr>
                <w:rFonts w:ascii="Times New Roman" w:eastAsia="Times New Roman" w:hAnsi="Times New Roman"/>
                <w:bCs/>
                <w:i/>
                <w:sz w:val="20"/>
                <w:szCs w:val="20"/>
                <w:bdr w:val="none" w:sz="0" w:space="0" w:color="auto" w:frame="1"/>
                <w:lang w:val="en-US" w:eastAsia="bg-BG"/>
              </w:rPr>
              <w:t xml:space="preserve">XIV – </w:t>
            </w:r>
            <w:r w:rsidRPr="009F0754">
              <w:rPr>
                <w:rFonts w:ascii="Times New Roman" w:eastAsia="Times New Roman" w:hAnsi="Times New Roman"/>
                <w:bCs/>
                <w:i/>
                <w:sz w:val="20"/>
                <w:szCs w:val="20"/>
                <w:bdr w:val="none" w:sz="0" w:space="0" w:color="auto" w:frame="1"/>
                <w:lang w:eastAsia="bg-BG"/>
              </w:rPr>
              <w:t>„План за действие“ към НППКАВ</w:t>
            </w:r>
            <w:r w:rsidRPr="009F0754">
              <w:rPr>
                <w:rFonts w:ascii="Times New Roman" w:eastAsia="Times New Roman" w:hAnsi="Times New Roman"/>
                <w:bCs/>
                <w:i/>
                <w:sz w:val="20"/>
                <w:szCs w:val="20"/>
                <w:bdr w:val="none" w:sz="0" w:space="0" w:color="auto" w:frame="1"/>
                <w:lang w:val="en-US" w:eastAsia="bg-BG"/>
              </w:rPr>
              <w:t>:</w:t>
            </w:r>
          </w:p>
        </w:tc>
        <w:tc>
          <w:tcPr>
            <w:tcW w:w="974" w:type="dxa"/>
          </w:tcPr>
          <w:p w14:paraId="118ECD7D" w14:textId="77777777" w:rsidR="00375BC0" w:rsidRPr="009F0754" w:rsidRDefault="00375BC0"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Целева стойност</w:t>
            </w:r>
          </w:p>
        </w:tc>
        <w:tc>
          <w:tcPr>
            <w:tcW w:w="3886" w:type="dxa"/>
          </w:tcPr>
          <w:p w14:paraId="2E6DDDC6" w14:textId="253B80CB" w:rsidR="00375BC0" w:rsidRPr="009F0754" w:rsidRDefault="00375BC0"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2023г.</w:t>
            </w:r>
          </w:p>
        </w:tc>
      </w:tr>
      <w:tr w:rsidR="00375BC0" w:rsidRPr="0092702E" w14:paraId="20C30DCA" w14:textId="77777777" w:rsidTr="00834D89">
        <w:tc>
          <w:tcPr>
            <w:tcW w:w="4320" w:type="dxa"/>
          </w:tcPr>
          <w:p w14:paraId="388D5DDE" w14:textId="2E9C6BD5" w:rsidR="00375BC0" w:rsidRPr="009F0754" w:rsidRDefault="00895B8F"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Pr>
                <w:rFonts w:ascii="Times New Roman" w:eastAsia="Times New Roman" w:hAnsi="Times New Roman"/>
                <w:bCs/>
                <w:sz w:val="20"/>
                <w:szCs w:val="20"/>
                <w:bdr w:val="none" w:sz="0" w:space="0" w:color="auto" w:frame="1"/>
                <w:lang w:eastAsia="bg-BG"/>
              </w:rPr>
              <w:t>Въведена ЗНЕ</w:t>
            </w:r>
            <w:r w:rsidR="003578C8">
              <w:rPr>
                <w:rFonts w:ascii="Times New Roman" w:eastAsia="Times New Roman" w:hAnsi="Times New Roman"/>
                <w:bCs/>
                <w:sz w:val="20"/>
                <w:szCs w:val="20"/>
                <w:bdr w:val="none" w:sz="0" w:space="0" w:color="auto" w:frame="1"/>
                <w:lang w:eastAsia="bg-BG"/>
              </w:rPr>
              <w:t>.</w:t>
            </w:r>
          </w:p>
        </w:tc>
        <w:tc>
          <w:tcPr>
            <w:tcW w:w="974" w:type="dxa"/>
          </w:tcPr>
          <w:p w14:paraId="2256CFAA" w14:textId="42851BCF" w:rsidR="00375BC0" w:rsidRPr="009F0754" w:rsidRDefault="00895B8F" w:rsidP="00834D89">
            <w:pPr>
              <w:pStyle w:val="ListParagraph"/>
              <w:spacing w:after="0" w:line="240" w:lineRule="auto"/>
              <w:ind w:left="-108"/>
              <w:jc w:val="center"/>
              <w:rPr>
                <w:rFonts w:ascii="Times New Roman" w:eastAsia="Times New Roman" w:hAnsi="Times New Roman"/>
                <w:bCs/>
                <w:sz w:val="20"/>
                <w:szCs w:val="20"/>
                <w:bdr w:val="none" w:sz="0" w:space="0" w:color="auto" w:frame="1"/>
                <w:lang w:eastAsia="bg-BG"/>
              </w:rPr>
            </w:pPr>
            <w:r w:rsidRPr="00895B8F">
              <w:rPr>
                <w:rFonts w:ascii="Times New Roman" w:eastAsia="Times New Roman" w:hAnsi="Times New Roman"/>
                <w:bCs/>
                <w:sz w:val="20"/>
                <w:szCs w:val="20"/>
                <w:bdr w:val="none" w:sz="0" w:space="0" w:color="auto" w:frame="1"/>
                <w:lang w:eastAsia="bg-BG"/>
              </w:rPr>
              <w:t>Неприложимо (въвеждането на ЗНЕ зависи от решението на общината).</w:t>
            </w:r>
          </w:p>
        </w:tc>
        <w:tc>
          <w:tcPr>
            <w:tcW w:w="3886" w:type="dxa"/>
          </w:tcPr>
          <w:p w14:paraId="77696134" w14:textId="523D4475" w:rsidR="00375BC0" w:rsidRPr="005B3A69" w:rsidRDefault="005B3A69" w:rsidP="00834D89">
            <w:pPr>
              <w:pStyle w:val="ListParagraph"/>
              <w:spacing w:after="0" w:line="240" w:lineRule="auto"/>
              <w:ind w:left="-93"/>
              <w:jc w:val="both"/>
              <w:rPr>
                <w:rFonts w:ascii="Times New Roman" w:eastAsia="Times New Roman" w:hAnsi="Times New Roman"/>
                <w:bCs/>
                <w:sz w:val="20"/>
                <w:szCs w:val="20"/>
                <w:bdr w:val="none" w:sz="0" w:space="0" w:color="auto" w:frame="1"/>
                <w:lang w:eastAsia="bg-BG"/>
              </w:rPr>
            </w:pPr>
            <w:r w:rsidRPr="005B3A69">
              <w:rPr>
                <w:rFonts w:ascii="Times New Roman" w:eastAsia="Times New Roman" w:hAnsi="Times New Roman"/>
                <w:bCs/>
                <w:sz w:val="20"/>
                <w:szCs w:val="20"/>
                <w:bdr w:val="none" w:sz="0" w:space="0" w:color="auto" w:frame="1"/>
                <w:lang w:eastAsia="bg-BG"/>
              </w:rPr>
              <w:t>Приета Наредба за създаване на зони с ниски емисии на вредни вещества в атмосферния въздух на територията на Столична община.</w:t>
            </w:r>
            <w:r w:rsidR="00923665" w:rsidRPr="00923665">
              <w:rPr>
                <w:rFonts w:ascii="Times New Roman" w:eastAsia="Times New Roman" w:hAnsi="Times New Roman"/>
                <w:bCs/>
                <w:sz w:val="24"/>
                <w:szCs w:val="24"/>
                <w:bdr w:val="none" w:sz="0" w:space="0" w:color="auto" w:frame="1"/>
                <w:lang w:eastAsia="bg-BG"/>
              </w:rPr>
              <w:t xml:space="preserve"> </w:t>
            </w:r>
            <w:r w:rsidR="00923665">
              <w:rPr>
                <w:rFonts w:ascii="Times New Roman" w:eastAsia="Times New Roman" w:hAnsi="Times New Roman"/>
                <w:bCs/>
                <w:sz w:val="20"/>
                <w:szCs w:val="20"/>
                <w:bdr w:val="none" w:sz="0" w:space="0" w:color="auto" w:frame="1"/>
                <w:lang w:eastAsia="bg-BG"/>
              </w:rPr>
              <w:t>С</w:t>
            </w:r>
            <w:r w:rsidR="00923665" w:rsidRPr="00923665">
              <w:rPr>
                <w:rFonts w:ascii="Times New Roman" w:eastAsia="Times New Roman" w:hAnsi="Times New Roman"/>
                <w:bCs/>
                <w:sz w:val="20"/>
                <w:szCs w:val="20"/>
                <w:bdr w:val="none" w:sz="0" w:space="0" w:color="auto" w:frame="1"/>
                <w:lang w:eastAsia="bg-BG"/>
              </w:rPr>
              <w:t>читано от 01.12.2023г. ограничението е въведено в град София.</w:t>
            </w:r>
          </w:p>
        </w:tc>
      </w:tr>
    </w:tbl>
    <w:p w14:paraId="75F4C8A2" w14:textId="77777777" w:rsidR="00375BC0" w:rsidRDefault="00375BC0" w:rsidP="00375BC0">
      <w:pPr>
        <w:spacing w:after="0" w:line="240" w:lineRule="auto"/>
        <w:ind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990"/>
        <w:gridCol w:w="3960"/>
      </w:tblGrid>
      <w:tr w:rsidR="00375BC0" w:rsidRPr="00B01742" w14:paraId="65B59B43" w14:textId="77777777" w:rsidTr="00834D89">
        <w:trPr>
          <w:trHeight w:val="583"/>
        </w:trPr>
        <w:tc>
          <w:tcPr>
            <w:tcW w:w="4230" w:type="dxa"/>
          </w:tcPr>
          <w:p w14:paraId="4AC1EF47" w14:textId="77777777" w:rsidR="00375BC0" w:rsidRPr="00B01742" w:rsidRDefault="00375BC0" w:rsidP="00834D89">
            <w:pPr>
              <w:spacing w:after="0" w:line="240" w:lineRule="auto"/>
              <w:ind w:left="-104"/>
              <w:jc w:val="both"/>
              <w:rPr>
                <w:rFonts w:ascii="Times New Roman" w:eastAsia="Times New Roman" w:hAnsi="Times New Roman"/>
                <w:bCs/>
                <w:sz w:val="20"/>
                <w:szCs w:val="20"/>
                <w:bdr w:val="none" w:sz="0" w:space="0" w:color="auto" w:frame="1"/>
                <w:lang w:eastAsia="bg-BG"/>
              </w:rPr>
            </w:pPr>
            <w:r w:rsidRPr="00B01742">
              <w:rPr>
                <w:rFonts w:ascii="Times New Roman" w:eastAsia="Times New Roman" w:hAnsi="Times New Roman"/>
                <w:bCs/>
                <w:i/>
                <w:sz w:val="20"/>
                <w:szCs w:val="20"/>
                <w:bdr w:val="none" w:sz="0" w:space="0" w:color="auto" w:frame="1"/>
                <w:lang w:eastAsia="bg-BG"/>
              </w:rPr>
              <w:lastRenderedPageBreak/>
              <w:t>Показател за резултат</w:t>
            </w:r>
            <w:r w:rsidRPr="00B01742">
              <w:rPr>
                <w:rFonts w:ascii="Times New Roman" w:eastAsia="Times New Roman" w:hAnsi="Times New Roman"/>
                <w:bCs/>
                <w:sz w:val="20"/>
                <w:szCs w:val="20"/>
                <w:bdr w:val="none" w:sz="0" w:space="0" w:color="auto" w:frame="1"/>
                <w:lang w:eastAsia="bg-BG"/>
              </w:rPr>
              <w:t xml:space="preserve"> </w:t>
            </w:r>
            <w:r w:rsidRPr="00B01742">
              <w:rPr>
                <w:rFonts w:ascii="Times New Roman" w:eastAsia="Times New Roman" w:hAnsi="Times New Roman"/>
                <w:bCs/>
                <w:i/>
                <w:sz w:val="20"/>
                <w:szCs w:val="20"/>
                <w:bdr w:val="none" w:sz="0" w:space="0" w:color="auto" w:frame="1"/>
                <w:lang w:eastAsia="bg-BG"/>
              </w:rPr>
              <w:t xml:space="preserve">определен в Приложение </w:t>
            </w:r>
            <w:r w:rsidRPr="00B01742">
              <w:rPr>
                <w:rFonts w:ascii="Times New Roman" w:eastAsia="Times New Roman" w:hAnsi="Times New Roman"/>
                <w:bCs/>
                <w:i/>
                <w:sz w:val="20"/>
                <w:szCs w:val="20"/>
                <w:bdr w:val="none" w:sz="0" w:space="0" w:color="auto" w:frame="1"/>
                <w:lang w:val="en-US" w:eastAsia="bg-BG"/>
              </w:rPr>
              <w:t xml:space="preserve">XIV – </w:t>
            </w:r>
            <w:r w:rsidRPr="00B01742">
              <w:rPr>
                <w:rFonts w:ascii="Times New Roman" w:eastAsia="Times New Roman" w:hAnsi="Times New Roman"/>
                <w:bCs/>
                <w:i/>
                <w:sz w:val="20"/>
                <w:szCs w:val="20"/>
                <w:bdr w:val="none" w:sz="0" w:space="0" w:color="auto" w:frame="1"/>
                <w:lang w:eastAsia="bg-BG"/>
              </w:rPr>
              <w:t>„План за действие“ към НППКАВ</w:t>
            </w:r>
            <w:r w:rsidRPr="00B01742">
              <w:rPr>
                <w:rFonts w:ascii="Times New Roman" w:eastAsia="Times New Roman" w:hAnsi="Times New Roman"/>
                <w:bCs/>
                <w:i/>
                <w:sz w:val="20"/>
                <w:szCs w:val="20"/>
                <w:bdr w:val="none" w:sz="0" w:space="0" w:color="auto" w:frame="1"/>
                <w:lang w:val="en-US" w:eastAsia="bg-BG"/>
              </w:rPr>
              <w:t>:</w:t>
            </w:r>
          </w:p>
        </w:tc>
        <w:tc>
          <w:tcPr>
            <w:tcW w:w="990" w:type="dxa"/>
          </w:tcPr>
          <w:p w14:paraId="0D055D86" w14:textId="77777777" w:rsidR="00375BC0" w:rsidRDefault="00375BC0"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Целева стойност</w:t>
            </w:r>
          </w:p>
        </w:tc>
        <w:tc>
          <w:tcPr>
            <w:tcW w:w="3960" w:type="dxa"/>
          </w:tcPr>
          <w:p w14:paraId="21E19248" w14:textId="2B04D227" w:rsidR="00375BC0" w:rsidRPr="00B01742" w:rsidRDefault="00375BC0"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B01742">
              <w:rPr>
                <w:rFonts w:ascii="Times New Roman" w:eastAsia="Times New Roman" w:hAnsi="Times New Roman"/>
                <w:bCs/>
                <w:i/>
                <w:sz w:val="20"/>
                <w:szCs w:val="20"/>
                <w:bdr w:val="none" w:sz="0" w:space="0" w:color="auto" w:frame="1"/>
                <w:lang w:eastAsia="bg-BG"/>
              </w:rPr>
              <w:t>2023г.</w:t>
            </w:r>
          </w:p>
        </w:tc>
      </w:tr>
      <w:tr w:rsidR="00375BC0" w:rsidRPr="0092702E" w14:paraId="70F6B9B5" w14:textId="77777777" w:rsidTr="00834D89">
        <w:tc>
          <w:tcPr>
            <w:tcW w:w="4230" w:type="dxa"/>
          </w:tcPr>
          <w:p w14:paraId="031241A5" w14:textId="39DCB7E8" w:rsidR="00375BC0" w:rsidRPr="00B01742" w:rsidRDefault="00895B8F"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Pr>
                <w:rFonts w:ascii="Times New Roman" w:eastAsia="Times New Roman" w:hAnsi="Times New Roman"/>
                <w:bCs/>
                <w:sz w:val="20"/>
                <w:szCs w:val="20"/>
                <w:bdr w:val="none" w:sz="0" w:space="0" w:color="auto" w:frame="1"/>
                <w:lang w:eastAsia="bg-BG"/>
              </w:rPr>
              <w:t xml:space="preserve">Намалени </w:t>
            </w:r>
            <w:r w:rsidR="00D96DFB">
              <w:rPr>
                <w:rFonts w:ascii="Times New Roman" w:eastAsia="Times New Roman" w:hAnsi="Times New Roman"/>
                <w:bCs/>
                <w:sz w:val="20"/>
                <w:szCs w:val="20"/>
                <w:bdr w:val="none" w:sz="0" w:space="0" w:color="auto" w:frame="1"/>
                <w:lang w:eastAsia="bg-BG"/>
              </w:rPr>
              <w:t>емисии от транспорта</w:t>
            </w:r>
            <w:r w:rsidR="003578C8">
              <w:rPr>
                <w:rFonts w:ascii="Times New Roman" w:eastAsia="Times New Roman" w:hAnsi="Times New Roman"/>
                <w:bCs/>
                <w:sz w:val="20"/>
                <w:szCs w:val="20"/>
                <w:bdr w:val="none" w:sz="0" w:space="0" w:color="auto" w:frame="1"/>
                <w:lang w:eastAsia="bg-BG"/>
              </w:rPr>
              <w:t>.</w:t>
            </w:r>
          </w:p>
        </w:tc>
        <w:tc>
          <w:tcPr>
            <w:tcW w:w="990" w:type="dxa"/>
          </w:tcPr>
          <w:p w14:paraId="6E6D046C" w14:textId="77777777" w:rsidR="00375BC0" w:rsidRDefault="00375BC0" w:rsidP="00834D89">
            <w:pPr>
              <w:pStyle w:val="ListParagraph"/>
              <w:spacing w:after="0" w:line="240" w:lineRule="auto"/>
              <w:ind w:left="-108"/>
              <w:jc w:val="center"/>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w:t>
            </w:r>
          </w:p>
        </w:tc>
        <w:tc>
          <w:tcPr>
            <w:tcW w:w="3960" w:type="dxa"/>
          </w:tcPr>
          <w:p w14:paraId="674F86E4" w14:textId="16B72832" w:rsidR="00375BC0" w:rsidRPr="00B01742" w:rsidRDefault="005A3F84" w:rsidP="005A3F84">
            <w:pPr>
              <w:pStyle w:val="ListParagraph"/>
              <w:spacing w:after="0" w:line="240" w:lineRule="auto"/>
              <w:ind w:left="-108"/>
              <w:jc w:val="both"/>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Принос към показателя за резултат не може да бъде отчетен, тъй като ефективен контрол на въведените ограничения не е осъществяван през периода.</w:t>
            </w:r>
          </w:p>
        </w:tc>
      </w:tr>
    </w:tbl>
    <w:p w14:paraId="45A72FDD" w14:textId="77777777" w:rsidR="00375BC0" w:rsidRPr="005F71F4" w:rsidRDefault="00375BC0"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61085B54" w14:textId="411152C6" w:rsidR="00B014AF" w:rsidRDefault="00F04768" w:rsidP="00B31E71">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П</w:t>
      </w:r>
      <w:r w:rsidR="00B31E71" w:rsidRPr="00B31E71">
        <w:rPr>
          <w:rFonts w:ascii="Times New Roman" w:eastAsia="Times New Roman" w:hAnsi="Times New Roman"/>
          <w:bCs/>
          <w:sz w:val="24"/>
          <w:szCs w:val="24"/>
          <w:bdr w:val="none" w:sz="0" w:space="0" w:color="auto" w:frame="1"/>
          <w:lang w:eastAsia="bg-BG"/>
        </w:rPr>
        <w:t>рез 2024</w:t>
      </w:r>
      <w:r w:rsidR="006A009C" w:rsidRPr="004961EC">
        <w:rPr>
          <w:rFonts w:ascii="Times New Roman" w:eastAsia="Times New Roman" w:hAnsi="Times New Roman"/>
          <w:bCs/>
          <w:sz w:val="24"/>
          <w:szCs w:val="24"/>
          <w:bdr w:val="none" w:sz="0" w:space="0" w:color="auto" w:frame="1"/>
          <w:lang w:eastAsia="bg-BG"/>
        </w:rPr>
        <w:t xml:space="preserve"> </w:t>
      </w:r>
      <w:r w:rsidR="00B31E71" w:rsidRPr="00B31E71">
        <w:rPr>
          <w:rFonts w:ascii="Times New Roman" w:eastAsia="Times New Roman" w:hAnsi="Times New Roman"/>
          <w:bCs/>
          <w:sz w:val="24"/>
          <w:szCs w:val="24"/>
          <w:bdr w:val="none" w:sz="0" w:space="0" w:color="auto" w:frame="1"/>
          <w:lang w:eastAsia="bg-BG"/>
        </w:rPr>
        <w:t xml:space="preserve">г. приключи изпълнението на проектите по процедура № BG16M1OP002-5.004 „Мерки за адресиране на транспорта като източник на замърсяване на атмосферния въздух“. Финансирани са 12 проекта на 10 общини с нарушено качество на въздуха. Целта на процедурата е да допринесе за подобряване качеството на атмосферния въздух посредством намаляване нивата на фини </w:t>
      </w:r>
      <w:proofErr w:type="spellStart"/>
      <w:r w:rsidR="00B31E71" w:rsidRPr="00B31E71">
        <w:rPr>
          <w:rFonts w:ascii="Times New Roman" w:eastAsia="Times New Roman" w:hAnsi="Times New Roman"/>
          <w:bCs/>
          <w:sz w:val="24"/>
          <w:szCs w:val="24"/>
          <w:bdr w:val="none" w:sz="0" w:space="0" w:color="auto" w:frame="1"/>
          <w:lang w:eastAsia="bg-BG"/>
        </w:rPr>
        <w:t>прахови</w:t>
      </w:r>
      <w:proofErr w:type="spellEnd"/>
      <w:r w:rsidR="00B31E71" w:rsidRPr="00B31E71">
        <w:rPr>
          <w:rFonts w:ascii="Times New Roman" w:eastAsia="Times New Roman" w:hAnsi="Times New Roman"/>
          <w:bCs/>
          <w:sz w:val="24"/>
          <w:szCs w:val="24"/>
          <w:bdr w:val="none" w:sz="0" w:space="0" w:color="auto" w:frame="1"/>
          <w:lang w:eastAsia="bg-BG"/>
        </w:rPr>
        <w:t xml:space="preserve"> частици (ФПЧ</w:t>
      </w:r>
      <w:r w:rsidR="00B31E71" w:rsidRPr="009C0A84">
        <w:rPr>
          <w:rFonts w:ascii="Times New Roman" w:eastAsia="Times New Roman" w:hAnsi="Times New Roman"/>
          <w:bCs/>
          <w:sz w:val="24"/>
          <w:szCs w:val="24"/>
          <w:bdr w:val="none" w:sz="0" w:space="0" w:color="auto" w:frame="1"/>
          <w:vertAlign w:val="subscript"/>
          <w:lang w:eastAsia="bg-BG"/>
        </w:rPr>
        <w:t>10</w:t>
      </w:r>
      <w:r w:rsidR="00B31E71" w:rsidRPr="00B31E71">
        <w:rPr>
          <w:rFonts w:ascii="Times New Roman" w:eastAsia="Times New Roman" w:hAnsi="Times New Roman"/>
          <w:bCs/>
          <w:sz w:val="24"/>
          <w:szCs w:val="24"/>
          <w:bdr w:val="none" w:sz="0" w:space="0" w:color="auto" w:frame="1"/>
          <w:lang w:eastAsia="bg-BG"/>
        </w:rPr>
        <w:t>) и азотни оксиди (</w:t>
      </w:r>
      <w:proofErr w:type="spellStart"/>
      <w:r w:rsidR="00B31E71" w:rsidRPr="00B31E71">
        <w:rPr>
          <w:rFonts w:ascii="Times New Roman" w:eastAsia="Times New Roman" w:hAnsi="Times New Roman"/>
          <w:bCs/>
          <w:sz w:val="24"/>
          <w:szCs w:val="24"/>
          <w:bdr w:val="none" w:sz="0" w:space="0" w:color="auto" w:frame="1"/>
          <w:lang w:eastAsia="bg-BG"/>
        </w:rPr>
        <w:t>NOx</w:t>
      </w:r>
      <w:proofErr w:type="spellEnd"/>
      <w:r w:rsidR="00B31E71" w:rsidRPr="00B31E71">
        <w:rPr>
          <w:rFonts w:ascii="Times New Roman" w:eastAsia="Times New Roman" w:hAnsi="Times New Roman"/>
          <w:bCs/>
          <w:sz w:val="24"/>
          <w:szCs w:val="24"/>
          <w:bdr w:val="none" w:sz="0" w:space="0" w:color="auto" w:frame="1"/>
          <w:lang w:eastAsia="bg-BG"/>
        </w:rPr>
        <w:t>) за достигане на утвърдените норми в атмосферния въздух чрез адресиране на транспорта като източник на замърсяване. В рамките на процедурата е подпомогнато закупуването и доставката на електрически транспортни средства (</w:t>
      </w:r>
      <w:proofErr w:type="spellStart"/>
      <w:r w:rsidR="00B31E71" w:rsidRPr="00B31E71">
        <w:rPr>
          <w:rFonts w:ascii="Times New Roman" w:eastAsia="Times New Roman" w:hAnsi="Times New Roman"/>
          <w:bCs/>
          <w:sz w:val="24"/>
          <w:szCs w:val="24"/>
          <w:bdr w:val="none" w:sz="0" w:space="0" w:color="auto" w:frame="1"/>
          <w:lang w:eastAsia="bg-BG"/>
        </w:rPr>
        <w:t>електробуси</w:t>
      </w:r>
      <w:proofErr w:type="spellEnd"/>
      <w:r w:rsidR="00B31E71" w:rsidRPr="00B31E71">
        <w:rPr>
          <w:rFonts w:ascii="Times New Roman" w:eastAsia="Times New Roman" w:hAnsi="Times New Roman"/>
          <w:bCs/>
          <w:sz w:val="24"/>
          <w:szCs w:val="24"/>
          <w:bdr w:val="none" w:sz="0" w:space="0" w:color="auto" w:frame="1"/>
          <w:lang w:eastAsia="bg-BG"/>
        </w:rPr>
        <w:t xml:space="preserve">, тролейбуси и трамваи) за обществения транспорт, което води до намаляване на вредните емисии във въздуха, намаляване на шума и вибрациите и значително спестяване на енергия. В резултат от процедурата и успешно изпълнените проекти са закупени и въведени в експлоатация 363 нови екологични превозни средства за градовете Враца, Стара Загора, Бургас, София, Плевен, Варна, Хасково, Перник, Сливен и Русе. </w:t>
      </w:r>
      <w:r w:rsidR="006A009C">
        <w:rPr>
          <w:rFonts w:ascii="Times New Roman" w:eastAsia="Times New Roman" w:hAnsi="Times New Roman"/>
          <w:bCs/>
          <w:sz w:val="24"/>
          <w:szCs w:val="24"/>
          <w:bdr w:val="none" w:sz="0" w:space="0" w:color="auto" w:frame="1"/>
          <w:lang w:eastAsia="bg-BG"/>
        </w:rPr>
        <w:t>Верифицираната с</w:t>
      </w:r>
      <w:r w:rsidR="00B31E71" w:rsidRPr="00B31E71">
        <w:rPr>
          <w:rFonts w:ascii="Times New Roman" w:eastAsia="Times New Roman" w:hAnsi="Times New Roman"/>
          <w:bCs/>
          <w:sz w:val="24"/>
          <w:szCs w:val="24"/>
          <w:bdr w:val="none" w:sz="0" w:space="0" w:color="auto" w:frame="1"/>
          <w:lang w:eastAsia="bg-BG"/>
        </w:rPr>
        <w:t>тойност на спестените емисии ФПЧ</w:t>
      </w:r>
      <w:r w:rsidR="00B31E71" w:rsidRPr="00B31E71">
        <w:rPr>
          <w:rFonts w:ascii="Times New Roman" w:eastAsia="Times New Roman" w:hAnsi="Times New Roman"/>
          <w:bCs/>
          <w:sz w:val="24"/>
          <w:szCs w:val="24"/>
          <w:bdr w:val="none" w:sz="0" w:space="0" w:color="auto" w:frame="1"/>
          <w:vertAlign w:val="subscript"/>
          <w:lang w:eastAsia="bg-BG"/>
        </w:rPr>
        <w:t>10</w:t>
      </w:r>
      <w:r w:rsidR="00B31E71" w:rsidRPr="00B31E71">
        <w:rPr>
          <w:rFonts w:ascii="Times New Roman" w:eastAsia="Times New Roman" w:hAnsi="Times New Roman"/>
          <w:bCs/>
          <w:sz w:val="24"/>
          <w:szCs w:val="24"/>
          <w:bdr w:val="none" w:sz="0" w:space="0" w:color="auto" w:frame="1"/>
          <w:lang w:eastAsia="bg-BG"/>
        </w:rPr>
        <w:t xml:space="preserve"> е </w:t>
      </w:r>
      <w:r w:rsidR="006A009C">
        <w:rPr>
          <w:rFonts w:ascii="Times New Roman" w:eastAsia="Times New Roman" w:hAnsi="Times New Roman"/>
          <w:bCs/>
          <w:sz w:val="24"/>
          <w:szCs w:val="24"/>
          <w:bdr w:val="none" w:sz="0" w:space="0" w:color="auto" w:frame="1"/>
          <w:lang w:eastAsia="bg-BG"/>
        </w:rPr>
        <w:t>19</w:t>
      </w:r>
      <w:r w:rsidR="00B31E71" w:rsidRPr="00B31E71">
        <w:rPr>
          <w:rFonts w:ascii="Times New Roman" w:eastAsia="Times New Roman" w:hAnsi="Times New Roman"/>
          <w:bCs/>
          <w:sz w:val="24"/>
          <w:szCs w:val="24"/>
          <w:bdr w:val="none" w:sz="0" w:space="0" w:color="auto" w:frame="1"/>
          <w:lang w:eastAsia="bg-BG"/>
        </w:rPr>
        <w:t xml:space="preserve"> т/г.</w:t>
      </w:r>
    </w:p>
    <w:p w14:paraId="18A4935D" w14:textId="77777777" w:rsidR="001E6F81" w:rsidRDefault="001E6F81" w:rsidP="00B31E71">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70582B21" w14:textId="18759727" w:rsidR="00D8729B" w:rsidRPr="00B31E71" w:rsidRDefault="00D8729B" w:rsidP="00B31E71">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017B7685" w14:textId="77777777" w:rsidR="006C37EC" w:rsidRPr="00D70824" w:rsidRDefault="006C37EC" w:rsidP="00275AFA">
      <w:pPr>
        <w:pStyle w:val="Heading2"/>
        <w:tabs>
          <w:tab w:val="left" w:pos="270"/>
        </w:tabs>
        <w:rPr>
          <w:rFonts w:ascii="Times New Roman" w:hAnsi="Times New Roman"/>
          <w:color w:val="auto"/>
          <w:bdr w:val="none" w:sz="0" w:space="0" w:color="auto" w:frame="1"/>
          <w:lang w:eastAsia="bg-BG"/>
        </w:rPr>
      </w:pPr>
      <w:bookmarkStart w:id="19" w:name="_3._ХОРИЗОНТАЛНИ_И"/>
      <w:bookmarkStart w:id="20" w:name="_Toc175822512"/>
      <w:bookmarkEnd w:id="19"/>
      <w:r w:rsidRPr="00D70824">
        <w:rPr>
          <w:rFonts w:ascii="Times New Roman" w:hAnsi="Times New Roman"/>
          <w:color w:val="auto"/>
          <w:bdr w:val="none" w:sz="0" w:space="0" w:color="auto" w:frame="1"/>
          <w:lang w:eastAsia="bg-BG"/>
        </w:rPr>
        <w:t>3.</w:t>
      </w:r>
      <w:r w:rsidRPr="00D70824">
        <w:rPr>
          <w:rFonts w:ascii="Times New Roman" w:hAnsi="Times New Roman"/>
          <w:color w:val="auto"/>
          <w:bdr w:val="none" w:sz="0" w:space="0" w:color="auto" w:frame="1"/>
          <w:lang w:eastAsia="bg-BG"/>
        </w:rPr>
        <w:tab/>
        <w:t>ХОРИЗОНТАЛНИ И ИНСТИТУЦИОНАЛНИ МЕРКИ</w:t>
      </w:r>
      <w:bookmarkEnd w:id="20"/>
    </w:p>
    <w:p w14:paraId="787E8496" w14:textId="77777777" w:rsidR="003879DD" w:rsidRPr="003953F9" w:rsidRDefault="003879DD">
      <w:pPr>
        <w:spacing w:after="0" w:line="240" w:lineRule="auto"/>
        <w:jc w:val="both"/>
        <w:rPr>
          <w:rFonts w:ascii="Times New Roman" w:eastAsia="Times New Roman" w:hAnsi="Times New Roman"/>
          <w:bCs/>
          <w:sz w:val="24"/>
          <w:szCs w:val="24"/>
          <w:bdr w:val="none" w:sz="0" w:space="0" w:color="auto" w:frame="1"/>
          <w:lang w:eastAsia="bg-BG"/>
        </w:rPr>
      </w:pPr>
    </w:p>
    <w:p w14:paraId="28B15825" w14:textId="09045AC1" w:rsidR="003953F9" w:rsidRDefault="003953F9">
      <w:pPr>
        <w:spacing w:after="0" w:line="240" w:lineRule="auto"/>
        <w:jc w:val="both"/>
        <w:rPr>
          <w:rFonts w:ascii="Times New Roman" w:eastAsia="Times New Roman" w:hAnsi="Times New Roman"/>
          <w:bCs/>
          <w:sz w:val="24"/>
          <w:szCs w:val="24"/>
          <w:bdr w:val="none" w:sz="0" w:space="0" w:color="auto" w:frame="1"/>
          <w:lang w:eastAsia="bg-BG"/>
        </w:rPr>
      </w:pPr>
      <w:r w:rsidRPr="003953F9">
        <w:rPr>
          <w:rFonts w:ascii="Times New Roman" w:eastAsia="Times New Roman" w:hAnsi="Times New Roman"/>
          <w:bCs/>
          <w:sz w:val="24"/>
          <w:szCs w:val="24"/>
          <w:bdr w:val="none" w:sz="0" w:space="0" w:color="auto" w:frame="1"/>
          <w:lang w:eastAsia="bg-BG"/>
        </w:rPr>
        <w:t>В НППКАВ</w:t>
      </w:r>
      <w:r w:rsidRPr="003953F9" w:rsidDel="00E46AC8">
        <w:rPr>
          <w:rFonts w:ascii="Times New Roman" w:eastAsia="Times New Roman" w:hAnsi="Times New Roman"/>
          <w:bCs/>
          <w:sz w:val="24"/>
          <w:szCs w:val="24"/>
          <w:bdr w:val="none" w:sz="0" w:space="0" w:color="auto" w:frame="1"/>
          <w:lang w:eastAsia="bg-BG"/>
        </w:rPr>
        <w:t xml:space="preserve"> </w:t>
      </w:r>
      <w:r w:rsidRPr="003953F9">
        <w:rPr>
          <w:rFonts w:ascii="Times New Roman" w:eastAsia="Times New Roman" w:hAnsi="Times New Roman"/>
          <w:bCs/>
          <w:sz w:val="24"/>
          <w:szCs w:val="24"/>
          <w:bdr w:val="none" w:sz="0" w:space="0" w:color="auto" w:frame="1"/>
          <w:lang w:eastAsia="bg-BG"/>
        </w:rPr>
        <w:t xml:space="preserve">са набелязани мерки, чието изпълнение </w:t>
      </w:r>
      <w:r w:rsidR="00FF4069">
        <w:rPr>
          <w:rFonts w:ascii="Times New Roman" w:eastAsia="Times New Roman" w:hAnsi="Times New Roman"/>
          <w:bCs/>
          <w:sz w:val="24"/>
          <w:szCs w:val="24"/>
          <w:bdr w:val="none" w:sz="0" w:space="0" w:color="auto" w:frame="1"/>
          <w:lang w:eastAsia="bg-BG"/>
        </w:rPr>
        <w:t xml:space="preserve">няма пряко </w:t>
      </w:r>
      <w:r w:rsidR="00BA14DE">
        <w:rPr>
          <w:rFonts w:ascii="Times New Roman" w:eastAsia="Times New Roman" w:hAnsi="Times New Roman"/>
          <w:bCs/>
          <w:sz w:val="24"/>
          <w:szCs w:val="24"/>
          <w:bdr w:val="none" w:sz="0" w:space="0" w:color="auto" w:frame="1"/>
          <w:lang w:eastAsia="bg-BG"/>
        </w:rPr>
        <w:t>из</w:t>
      </w:r>
      <w:r w:rsidR="00FF4069">
        <w:rPr>
          <w:rFonts w:ascii="Times New Roman" w:eastAsia="Times New Roman" w:hAnsi="Times New Roman"/>
          <w:bCs/>
          <w:sz w:val="24"/>
          <w:szCs w:val="24"/>
          <w:bdr w:val="none" w:sz="0" w:space="0" w:color="auto" w:frame="1"/>
          <w:lang w:eastAsia="bg-BG"/>
        </w:rPr>
        <w:t xml:space="preserve">ражение </w:t>
      </w:r>
      <w:r w:rsidR="00BA14DE">
        <w:rPr>
          <w:rFonts w:ascii="Times New Roman" w:eastAsia="Times New Roman" w:hAnsi="Times New Roman"/>
          <w:bCs/>
          <w:sz w:val="24"/>
          <w:szCs w:val="24"/>
          <w:bdr w:val="none" w:sz="0" w:space="0" w:color="auto" w:frame="1"/>
          <w:lang w:eastAsia="bg-BG"/>
        </w:rPr>
        <w:t>като</w:t>
      </w:r>
      <w:r w:rsidR="00FF4069">
        <w:rPr>
          <w:rFonts w:ascii="Times New Roman" w:eastAsia="Times New Roman" w:hAnsi="Times New Roman"/>
          <w:bCs/>
          <w:sz w:val="24"/>
          <w:szCs w:val="24"/>
          <w:bdr w:val="none" w:sz="0" w:space="0" w:color="auto" w:frame="1"/>
          <w:lang w:eastAsia="bg-BG"/>
        </w:rPr>
        <w:t xml:space="preserve"> количествено намаляване на</w:t>
      </w:r>
      <w:r w:rsidRPr="003953F9">
        <w:rPr>
          <w:rFonts w:ascii="Times New Roman" w:eastAsia="Times New Roman" w:hAnsi="Times New Roman"/>
          <w:bCs/>
          <w:sz w:val="24"/>
          <w:szCs w:val="24"/>
          <w:bdr w:val="none" w:sz="0" w:space="0" w:color="auto" w:frame="1"/>
          <w:lang w:eastAsia="bg-BG"/>
        </w:rPr>
        <w:t xml:space="preserve"> емисиите</w:t>
      </w:r>
      <w:r w:rsidR="00BA14DE">
        <w:rPr>
          <w:rFonts w:ascii="Times New Roman" w:eastAsia="Times New Roman" w:hAnsi="Times New Roman"/>
          <w:bCs/>
          <w:sz w:val="24"/>
          <w:szCs w:val="24"/>
          <w:bdr w:val="none" w:sz="0" w:space="0" w:color="auto" w:frame="1"/>
          <w:lang w:eastAsia="bg-BG"/>
        </w:rPr>
        <w:t xml:space="preserve">, но </w:t>
      </w:r>
      <w:r w:rsidR="00884262">
        <w:rPr>
          <w:rFonts w:ascii="Times New Roman" w:eastAsia="Times New Roman" w:hAnsi="Times New Roman"/>
          <w:bCs/>
          <w:sz w:val="24"/>
          <w:szCs w:val="24"/>
          <w:bdr w:val="none" w:sz="0" w:space="0" w:color="auto" w:frame="1"/>
          <w:lang w:eastAsia="bg-BG"/>
        </w:rPr>
        <w:t xml:space="preserve">са </w:t>
      </w:r>
      <w:r w:rsidR="00BA14DE">
        <w:rPr>
          <w:rFonts w:ascii="Times New Roman" w:eastAsia="Times New Roman" w:hAnsi="Times New Roman"/>
          <w:bCs/>
          <w:sz w:val="24"/>
          <w:szCs w:val="24"/>
          <w:bdr w:val="none" w:sz="0" w:space="0" w:color="auto" w:frame="1"/>
          <w:lang w:eastAsia="bg-BG"/>
        </w:rPr>
        <w:t xml:space="preserve">в </w:t>
      </w:r>
      <w:r w:rsidR="005F312D" w:rsidRPr="005F312D">
        <w:rPr>
          <w:rFonts w:ascii="Times New Roman" w:eastAsia="Times New Roman" w:hAnsi="Times New Roman"/>
          <w:bCs/>
          <w:sz w:val="24"/>
          <w:szCs w:val="24"/>
          <w:bdr w:val="none" w:sz="0" w:space="0" w:color="auto" w:frame="1"/>
          <w:lang w:eastAsia="bg-BG"/>
        </w:rPr>
        <w:t xml:space="preserve">допълнение към представените секторни </w:t>
      </w:r>
      <w:r w:rsidR="005F312D" w:rsidRPr="0040642D">
        <w:rPr>
          <w:rFonts w:ascii="Times New Roman" w:eastAsia="Times New Roman" w:hAnsi="Times New Roman"/>
          <w:bCs/>
          <w:sz w:val="24"/>
          <w:szCs w:val="24"/>
          <w:bdr w:val="none" w:sz="0" w:space="0" w:color="auto" w:frame="1"/>
          <w:lang w:eastAsia="bg-BG"/>
        </w:rPr>
        <w:t>мерки</w:t>
      </w:r>
      <w:r w:rsidR="00884262" w:rsidRPr="0040642D">
        <w:rPr>
          <w:rFonts w:ascii="Times New Roman" w:eastAsia="Times New Roman" w:hAnsi="Times New Roman"/>
          <w:bCs/>
          <w:sz w:val="24"/>
          <w:szCs w:val="24"/>
          <w:bdr w:val="none" w:sz="0" w:space="0" w:color="auto" w:frame="1"/>
          <w:lang w:eastAsia="bg-BG"/>
        </w:rPr>
        <w:t xml:space="preserve"> (т.нар. </w:t>
      </w:r>
      <w:r w:rsidR="005F312D" w:rsidRPr="0040642D">
        <w:rPr>
          <w:rFonts w:ascii="Times New Roman" w:eastAsia="Times New Roman" w:hAnsi="Times New Roman"/>
          <w:bCs/>
          <w:sz w:val="24"/>
          <w:szCs w:val="24"/>
          <w:bdr w:val="none" w:sz="0" w:space="0" w:color="auto" w:frame="1"/>
          <w:lang w:eastAsia="bg-BG"/>
        </w:rPr>
        <w:t>"меки" мерки</w:t>
      </w:r>
      <w:r w:rsidR="00884262" w:rsidRPr="0040642D">
        <w:rPr>
          <w:rFonts w:ascii="Times New Roman" w:eastAsia="Times New Roman" w:hAnsi="Times New Roman"/>
          <w:bCs/>
          <w:sz w:val="24"/>
          <w:szCs w:val="24"/>
          <w:bdr w:val="none" w:sz="0" w:space="0" w:color="auto" w:frame="1"/>
          <w:lang w:eastAsia="bg-BG"/>
        </w:rPr>
        <w:t>)</w:t>
      </w:r>
      <w:r w:rsidR="005F312D" w:rsidRPr="0040642D">
        <w:rPr>
          <w:rFonts w:ascii="Times New Roman" w:eastAsia="Times New Roman" w:hAnsi="Times New Roman"/>
          <w:bCs/>
          <w:sz w:val="24"/>
          <w:szCs w:val="24"/>
          <w:bdr w:val="none" w:sz="0" w:space="0" w:color="auto" w:frame="1"/>
          <w:lang w:eastAsia="bg-BG"/>
        </w:rPr>
        <w:t>. Те са свързани главно с укрепването на институционалния</w:t>
      </w:r>
      <w:r w:rsidR="005F312D" w:rsidRPr="005F312D">
        <w:rPr>
          <w:rFonts w:ascii="Times New Roman" w:eastAsia="Times New Roman" w:hAnsi="Times New Roman"/>
          <w:bCs/>
          <w:sz w:val="24"/>
          <w:szCs w:val="24"/>
          <w:bdr w:val="none" w:sz="0" w:space="0" w:color="auto" w:frame="1"/>
          <w:lang w:eastAsia="bg-BG"/>
        </w:rPr>
        <w:t xml:space="preserve"> капацитет и конфигурацията на</w:t>
      </w:r>
      <w:r w:rsidR="005F312D">
        <w:rPr>
          <w:rFonts w:ascii="Times New Roman" w:eastAsia="Times New Roman" w:hAnsi="Times New Roman"/>
          <w:bCs/>
          <w:sz w:val="24"/>
          <w:szCs w:val="24"/>
          <w:bdr w:val="none" w:sz="0" w:space="0" w:color="auto" w:frame="1"/>
          <w:lang w:eastAsia="bg-BG"/>
        </w:rPr>
        <w:t xml:space="preserve"> </w:t>
      </w:r>
      <w:r w:rsidR="005F312D" w:rsidRPr="005F312D">
        <w:rPr>
          <w:rFonts w:ascii="Times New Roman" w:eastAsia="Times New Roman" w:hAnsi="Times New Roman"/>
          <w:bCs/>
          <w:sz w:val="24"/>
          <w:szCs w:val="24"/>
          <w:bdr w:val="none" w:sz="0" w:space="0" w:color="auto" w:frame="1"/>
          <w:lang w:eastAsia="bg-BG"/>
        </w:rPr>
        <w:t>национално, регионално и общинско равнище за подготовка и изпълнение на програми за качество на</w:t>
      </w:r>
      <w:r w:rsidR="005F312D">
        <w:rPr>
          <w:rFonts w:ascii="Times New Roman" w:eastAsia="Times New Roman" w:hAnsi="Times New Roman"/>
          <w:bCs/>
          <w:sz w:val="24"/>
          <w:szCs w:val="24"/>
          <w:bdr w:val="none" w:sz="0" w:space="0" w:color="auto" w:frame="1"/>
          <w:lang w:eastAsia="bg-BG"/>
        </w:rPr>
        <w:t xml:space="preserve"> </w:t>
      </w:r>
      <w:r w:rsidR="005F312D" w:rsidRPr="005F312D">
        <w:rPr>
          <w:rFonts w:ascii="Times New Roman" w:eastAsia="Times New Roman" w:hAnsi="Times New Roman"/>
          <w:bCs/>
          <w:sz w:val="24"/>
          <w:szCs w:val="24"/>
          <w:bdr w:val="none" w:sz="0" w:space="0" w:color="auto" w:frame="1"/>
          <w:lang w:eastAsia="bg-BG"/>
        </w:rPr>
        <w:t>въздуха</w:t>
      </w:r>
      <w:r w:rsidR="00884262">
        <w:rPr>
          <w:rFonts w:ascii="Times New Roman" w:eastAsia="Times New Roman" w:hAnsi="Times New Roman"/>
          <w:bCs/>
          <w:sz w:val="24"/>
          <w:szCs w:val="24"/>
          <w:bdr w:val="none" w:sz="0" w:space="0" w:color="auto" w:frame="1"/>
          <w:lang w:eastAsia="bg-BG"/>
        </w:rPr>
        <w:t>.</w:t>
      </w:r>
    </w:p>
    <w:p w14:paraId="368F46CE" w14:textId="77777777" w:rsidR="00884262" w:rsidRPr="003953F9" w:rsidRDefault="00884262">
      <w:pPr>
        <w:spacing w:after="0" w:line="240" w:lineRule="auto"/>
        <w:jc w:val="both"/>
        <w:rPr>
          <w:rFonts w:ascii="Times New Roman" w:eastAsia="Times New Roman" w:hAnsi="Times New Roman"/>
          <w:bCs/>
          <w:sz w:val="24"/>
          <w:szCs w:val="24"/>
          <w:bdr w:val="none" w:sz="0" w:space="0" w:color="auto" w:frame="1"/>
          <w:lang w:eastAsia="bg-BG"/>
        </w:rPr>
      </w:pPr>
    </w:p>
    <w:p w14:paraId="319C0BA1" w14:textId="77777777" w:rsidR="00584AC8" w:rsidRPr="005F71F4" w:rsidRDefault="00B21709">
      <w:pPr>
        <w:spacing w:after="0" w:line="240" w:lineRule="auto"/>
        <w:jc w:val="both"/>
        <w:rPr>
          <w:rFonts w:ascii="Times New Roman" w:eastAsia="Times New Roman" w:hAnsi="Times New Roman"/>
          <w:b/>
          <w:bCs/>
          <w:i/>
          <w:sz w:val="24"/>
          <w:szCs w:val="24"/>
          <w:bdr w:val="none" w:sz="0" w:space="0" w:color="auto" w:frame="1"/>
          <w:lang w:eastAsia="bg-BG"/>
        </w:rPr>
      </w:pPr>
      <w:r w:rsidRPr="005F71F4">
        <w:rPr>
          <w:rFonts w:ascii="Times New Roman" w:eastAsia="Times New Roman" w:hAnsi="Times New Roman"/>
          <w:b/>
          <w:bCs/>
          <w:i/>
          <w:sz w:val="24"/>
          <w:szCs w:val="24"/>
          <w:bdr w:val="none" w:sz="0" w:space="0" w:color="auto" w:frame="1"/>
          <w:lang w:eastAsia="bg-BG"/>
        </w:rPr>
        <w:t xml:space="preserve">Мярка: </w:t>
      </w:r>
      <w:r w:rsidR="00C3133B" w:rsidRPr="00454C31">
        <w:rPr>
          <w:rFonts w:ascii="Times New Roman" w:eastAsia="Times New Roman" w:hAnsi="Times New Roman"/>
          <w:b/>
          <w:bCs/>
          <w:sz w:val="24"/>
          <w:szCs w:val="24"/>
          <w:bdr w:val="none" w:sz="0" w:space="0" w:color="auto" w:frame="1"/>
          <w:lang w:eastAsia="bg-BG"/>
        </w:rPr>
        <w:t>Създаване на подходящи институционални механизми</w:t>
      </w:r>
      <w:r w:rsidR="00F50714">
        <w:rPr>
          <w:rFonts w:ascii="Times New Roman" w:eastAsia="Times New Roman" w:hAnsi="Times New Roman"/>
          <w:b/>
          <w:bCs/>
          <w:sz w:val="24"/>
          <w:szCs w:val="24"/>
          <w:bdr w:val="none" w:sz="0" w:space="0" w:color="auto" w:frame="1"/>
          <w:lang w:eastAsia="bg-BG"/>
        </w:rPr>
        <w:t>,</w:t>
      </w:r>
      <w:r w:rsidR="00C3133B" w:rsidRPr="00454C31">
        <w:rPr>
          <w:rFonts w:ascii="Times New Roman" w:eastAsia="Times New Roman" w:hAnsi="Times New Roman"/>
          <w:b/>
          <w:bCs/>
          <w:sz w:val="24"/>
          <w:szCs w:val="24"/>
          <w:bdr w:val="none" w:sz="0" w:space="0" w:color="auto" w:frame="1"/>
          <w:lang w:eastAsia="bg-BG"/>
        </w:rPr>
        <w:t xml:space="preserve"> с цел създаване на екип от експерти, които да предоставят съвети и подкрепа в областта на подобряване на качеството на атмосферния въздух</w:t>
      </w:r>
    </w:p>
    <w:p w14:paraId="4A76DB35" w14:textId="77777777" w:rsidR="00B014AF" w:rsidRPr="005F71F4" w:rsidRDefault="00B014AF">
      <w:pPr>
        <w:spacing w:after="0" w:line="240" w:lineRule="auto"/>
        <w:ind w:firstLine="990"/>
        <w:jc w:val="both"/>
        <w:rPr>
          <w:rFonts w:ascii="Times New Roman" w:eastAsia="Times New Roman" w:hAnsi="Times New Roman"/>
          <w:b/>
          <w:bCs/>
          <w:sz w:val="24"/>
          <w:szCs w:val="24"/>
          <w:bdr w:val="none" w:sz="0" w:space="0" w:color="auto" w:frame="1"/>
          <w:lang w:eastAsia="bg-BG"/>
        </w:rPr>
      </w:pPr>
    </w:p>
    <w:p w14:paraId="35852D8D" w14:textId="621F38D2" w:rsidR="00A33C09" w:rsidRDefault="00A33C09"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В процес на изпълнение.</w:t>
      </w:r>
    </w:p>
    <w:p w14:paraId="7FAFC8BA" w14:textId="65035EE1" w:rsidR="00BF3F4A" w:rsidRPr="00252B6B" w:rsidRDefault="00910C80"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252B6B">
        <w:rPr>
          <w:rFonts w:ascii="Times New Roman" w:eastAsia="Times New Roman" w:hAnsi="Times New Roman"/>
          <w:bCs/>
          <w:sz w:val="24"/>
          <w:szCs w:val="24"/>
          <w:bdr w:val="none" w:sz="0" w:space="0" w:color="auto" w:frame="1"/>
          <w:lang w:eastAsia="bg-BG"/>
        </w:rPr>
        <w:t>В</w:t>
      </w:r>
      <w:r w:rsidR="00511437" w:rsidRPr="00252B6B">
        <w:rPr>
          <w:rFonts w:ascii="Times New Roman" w:eastAsia="Times New Roman" w:hAnsi="Times New Roman"/>
          <w:bCs/>
          <w:sz w:val="24"/>
          <w:szCs w:val="24"/>
          <w:bdr w:val="none" w:sz="0" w:space="0" w:color="auto" w:frame="1"/>
          <w:lang w:eastAsia="bg-BG"/>
        </w:rPr>
        <w:t xml:space="preserve"> програма „Околна среда“ 2021-2027г. в приоритет „Въздух“ е предвидена мярка за „Създаване на Национална мрежа на експерти по качество на атмосферния въздух“ </w:t>
      </w:r>
      <w:r w:rsidR="00590503" w:rsidRPr="00252B6B">
        <w:rPr>
          <w:rFonts w:ascii="Times New Roman" w:eastAsia="Times New Roman" w:hAnsi="Times New Roman"/>
          <w:bCs/>
          <w:sz w:val="24"/>
          <w:szCs w:val="24"/>
          <w:bdr w:val="none" w:sz="0" w:space="0" w:color="auto" w:frame="1"/>
          <w:lang w:eastAsia="bg-BG"/>
        </w:rPr>
        <w:t>като</w:t>
      </w:r>
      <w:r w:rsidR="00831D57" w:rsidRPr="00252B6B">
        <w:rPr>
          <w:rFonts w:ascii="Times New Roman" w:eastAsia="Times New Roman" w:hAnsi="Times New Roman"/>
          <w:bCs/>
          <w:sz w:val="24"/>
          <w:szCs w:val="24"/>
          <w:bdr w:val="none" w:sz="0" w:space="0" w:color="auto" w:frame="1"/>
          <w:lang w:eastAsia="bg-BG"/>
        </w:rPr>
        <w:t xml:space="preserve"> мерките за повишаване на експертния капацитет са насочени към бенефициентите</w:t>
      </w:r>
      <w:r w:rsidR="00515096">
        <w:rPr>
          <w:rFonts w:ascii="Times New Roman" w:eastAsia="Times New Roman" w:hAnsi="Times New Roman"/>
          <w:bCs/>
          <w:sz w:val="24"/>
          <w:szCs w:val="24"/>
          <w:bdr w:val="none" w:sz="0" w:space="0" w:color="auto" w:frame="1"/>
          <w:lang w:eastAsia="bg-BG"/>
        </w:rPr>
        <w:t xml:space="preserve"> на програмата</w:t>
      </w:r>
      <w:r w:rsidR="00831D57" w:rsidRPr="00252B6B">
        <w:rPr>
          <w:rFonts w:ascii="Times New Roman" w:eastAsia="Times New Roman" w:hAnsi="Times New Roman"/>
          <w:bCs/>
          <w:sz w:val="24"/>
          <w:szCs w:val="24"/>
          <w:bdr w:val="none" w:sz="0" w:space="0" w:color="auto" w:frame="1"/>
          <w:lang w:eastAsia="bg-BG"/>
        </w:rPr>
        <w:t xml:space="preserve"> и органите</w:t>
      </w:r>
      <w:r w:rsidR="00616D43" w:rsidRPr="00252B6B">
        <w:rPr>
          <w:rFonts w:ascii="Times New Roman" w:eastAsia="Times New Roman" w:hAnsi="Times New Roman"/>
          <w:bCs/>
          <w:sz w:val="24"/>
          <w:szCs w:val="24"/>
          <w:bdr w:val="none" w:sz="0" w:space="0" w:color="auto" w:frame="1"/>
          <w:lang w:eastAsia="bg-BG"/>
        </w:rPr>
        <w:t xml:space="preserve"> на местно</w:t>
      </w:r>
      <w:r w:rsidR="00515096">
        <w:rPr>
          <w:rFonts w:ascii="Times New Roman" w:eastAsia="Times New Roman" w:hAnsi="Times New Roman"/>
          <w:bCs/>
          <w:sz w:val="24"/>
          <w:szCs w:val="24"/>
          <w:bdr w:val="none" w:sz="0" w:space="0" w:color="auto" w:frame="1"/>
          <w:lang w:eastAsia="bg-BG"/>
        </w:rPr>
        <w:t xml:space="preserve">, регионално и </w:t>
      </w:r>
      <w:r w:rsidR="00515096" w:rsidRPr="00B02BAD">
        <w:rPr>
          <w:rFonts w:ascii="Times New Roman" w:eastAsia="Times New Roman" w:hAnsi="Times New Roman"/>
          <w:bCs/>
          <w:sz w:val="24"/>
          <w:szCs w:val="24"/>
          <w:bdr w:val="none" w:sz="0" w:space="0" w:color="auto" w:frame="1"/>
          <w:lang w:eastAsia="bg-BG"/>
        </w:rPr>
        <w:t>национално</w:t>
      </w:r>
      <w:r w:rsidR="00616D43" w:rsidRPr="00252B6B">
        <w:rPr>
          <w:rFonts w:ascii="Times New Roman" w:eastAsia="Times New Roman" w:hAnsi="Times New Roman"/>
          <w:bCs/>
          <w:sz w:val="24"/>
          <w:szCs w:val="24"/>
          <w:bdr w:val="none" w:sz="0" w:space="0" w:color="auto" w:frame="1"/>
          <w:lang w:eastAsia="bg-BG"/>
        </w:rPr>
        <w:t xml:space="preserve"> ниво</w:t>
      </w:r>
      <w:r w:rsidR="00831D57" w:rsidRPr="00252B6B">
        <w:rPr>
          <w:rFonts w:ascii="Times New Roman" w:eastAsia="Times New Roman" w:hAnsi="Times New Roman"/>
          <w:bCs/>
          <w:sz w:val="24"/>
          <w:szCs w:val="24"/>
          <w:bdr w:val="none" w:sz="0" w:space="0" w:color="auto" w:frame="1"/>
          <w:lang w:eastAsia="bg-BG"/>
        </w:rPr>
        <w:t>, ангажирани с прилагането на политики, свързани с качеството на въздуха, включително к</w:t>
      </w:r>
      <w:r w:rsidR="00C908AA" w:rsidRPr="00252B6B">
        <w:rPr>
          <w:rFonts w:ascii="Times New Roman" w:eastAsia="Times New Roman" w:hAnsi="Times New Roman"/>
          <w:bCs/>
          <w:sz w:val="24"/>
          <w:szCs w:val="24"/>
          <w:bdr w:val="none" w:sz="0" w:space="0" w:color="auto" w:frame="1"/>
          <w:lang w:eastAsia="bg-BG"/>
        </w:rPr>
        <w:t>о</w:t>
      </w:r>
      <w:r w:rsidRPr="00252B6B">
        <w:rPr>
          <w:rFonts w:ascii="Times New Roman" w:eastAsia="Times New Roman" w:hAnsi="Times New Roman"/>
          <w:bCs/>
          <w:sz w:val="24"/>
          <w:szCs w:val="24"/>
          <w:bdr w:val="none" w:sz="0" w:space="0" w:color="auto" w:frame="1"/>
          <w:lang w:eastAsia="bg-BG"/>
        </w:rPr>
        <w:t xml:space="preserve">нтрола върху тяхното прилагане. </w:t>
      </w:r>
      <w:r w:rsidR="00515096" w:rsidRPr="00515096">
        <w:rPr>
          <w:rFonts w:ascii="Times New Roman" w:eastAsia="Times New Roman" w:hAnsi="Times New Roman"/>
          <w:bCs/>
          <w:sz w:val="24"/>
          <w:szCs w:val="24"/>
          <w:bdr w:val="none" w:sz="0" w:space="0" w:color="auto" w:frame="1"/>
          <w:lang w:eastAsia="bg-BG"/>
        </w:rPr>
        <w:t>Максималният срок за изпълнение на дейностите по процедурата ще е в рамките на 48 месеца от датата на сключване на административния договор за предоставяне на безвъзмездна финансова помощ.</w:t>
      </w:r>
    </w:p>
    <w:p w14:paraId="7DADCC9A" w14:textId="77777777" w:rsidR="00723003" w:rsidRDefault="00723003" w:rsidP="00723003">
      <w:pPr>
        <w:pStyle w:val="ListParagraph"/>
        <w:spacing w:after="0" w:line="240" w:lineRule="auto"/>
        <w:ind w:left="0"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1036"/>
        <w:gridCol w:w="3858"/>
      </w:tblGrid>
      <w:tr w:rsidR="007E776A" w:rsidRPr="009F0754" w14:paraId="706F9436" w14:textId="77777777" w:rsidTr="00834D89">
        <w:tc>
          <w:tcPr>
            <w:tcW w:w="4320" w:type="dxa"/>
          </w:tcPr>
          <w:p w14:paraId="0F8F273C" w14:textId="77777777" w:rsidR="00723003" w:rsidRPr="009F0754" w:rsidRDefault="00723003" w:rsidP="00834D89">
            <w:pPr>
              <w:spacing w:after="0" w:line="240" w:lineRule="auto"/>
              <w:ind w:left="-104"/>
              <w:jc w:val="both"/>
              <w:rPr>
                <w:rFonts w:ascii="Times New Roman" w:eastAsia="Times New Roman" w:hAnsi="Times New Roman"/>
                <w:bCs/>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Показател за изпълнение</w:t>
            </w:r>
            <w:r w:rsidRPr="009F0754">
              <w:rPr>
                <w:rFonts w:ascii="Times New Roman" w:eastAsia="Times New Roman" w:hAnsi="Times New Roman"/>
                <w:bCs/>
                <w:sz w:val="20"/>
                <w:szCs w:val="20"/>
                <w:bdr w:val="none" w:sz="0" w:space="0" w:color="auto" w:frame="1"/>
                <w:lang w:eastAsia="bg-BG"/>
              </w:rPr>
              <w:t xml:space="preserve"> </w:t>
            </w:r>
            <w:r w:rsidRPr="009F0754">
              <w:rPr>
                <w:rFonts w:ascii="Times New Roman" w:eastAsia="Times New Roman" w:hAnsi="Times New Roman"/>
                <w:bCs/>
                <w:i/>
                <w:sz w:val="20"/>
                <w:szCs w:val="20"/>
                <w:bdr w:val="none" w:sz="0" w:space="0" w:color="auto" w:frame="1"/>
                <w:lang w:eastAsia="bg-BG"/>
              </w:rPr>
              <w:t xml:space="preserve">определен в Приложение </w:t>
            </w:r>
            <w:r w:rsidRPr="009F0754">
              <w:rPr>
                <w:rFonts w:ascii="Times New Roman" w:eastAsia="Times New Roman" w:hAnsi="Times New Roman"/>
                <w:bCs/>
                <w:i/>
                <w:sz w:val="20"/>
                <w:szCs w:val="20"/>
                <w:bdr w:val="none" w:sz="0" w:space="0" w:color="auto" w:frame="1"/>
                <w:lang w:val="en-US" w:eastAsia="bg-BG"/>
              </w:rPr>
              <w:t xml:space="preserve">XIV – </w:t>
            </w:r>
            <w:r w:rsidRPr="009F0754">
              <w:rPr>
                <w:rFonts w:ascii="Times New Roman" w:eastAsia="Times New Roman" w:hAnsi="Times New Roman"/>
                <w:bCs/>
                <w:i/>
                <w:sz w:val="20"/>
                <w:szCs w:val="20"/>
                <w:bdr w:val="none" w:sz="0" w:space="0" w:color="auto" w:frame="1"/>
                <w:lang w:eastAsia="bg-BG"/>
              </w:rPr>
              <w:t>„План за действие“ към НППКАВ</w:t>
            </w:r>
            <w:r w:rsidRPr="009F0754">
              <w:rPr>
                <w:rFonts w:ascii="Times New Roman" w:eastAsia="Times New Roman" w:hAnsi="Times New Roman"/>
                <w:bCs/>
                <w:i/>
                <w:sz w:val="20"/>
                <w:szCs w:val="20"/>
                <w:bdr w:val="none" w:sz="0" w:space="0" w:color="auto" w:frame="1"/>
                <w:lang w:val="en-US" w:eastAsia="bg-BG"/>
              </w:rPr>
              <w:t>:</w:t>
            </w:r>
          </w:p>
        </w:tc>
        <w:tc>
          <w:tcPr>
            <w:tcW w:w="974" w:type="dxa"/>
          </w:tcPr>
          <w:p w14:paraId="01E0E2DF" w14:textId="77777777" w:rsidR="00723003" w:rsidRPr="009F0754" w:rsidRDefault="00723003"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Целева стойност</w:t>
            </w:r>
          </w:p>
        </w:tc>
        <w:tc>
          <w:tcPr>
            <w:tcW w:w="3886" w:type="dxa"/>
          </w:tcPr>
          <w:p w14:paraId="2B6C2FB9" w14:textId="77777777" w:rsidR="00723003" w:rsidRPr="009F0754" w:rsidRDefault="00723003"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2023г.</w:t>
            </w:r>
          </w:p>
        </w:tc>
      </w:tr>
      <w:tr w:rsidR="007E776A" w:rsidRPr="0092702E" w14:paraId="780C10D0" w14:textId="77777777" w:rsidTr="00834D89">
        <w:tc>
          <w:tcPr>
            <w:tcW w:w="4320" w:type="dxa"/>
          </w:tcPr>
          <w:p w14:paraId="5AC13DA6" w14:textId="4F72174E" w:rsidR="00723003" w:rsidRPr="00723003" w:rsidRDefault="00723003" w:rsidP="00723003">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723003">
              <w:rPr>
                <w:rFonts w:ascii="Times New Roman" w:eastAsia="Times New Roman" w:hAnsi="Times New Roman"/>
                <w:bCs/>
                <w:sz w:val="20"/>
                <w:szCs w:val="20"/>
                <w:bdr w:val="none" w:sz="0" w:space="0" w:color="auto" w:frame="1"/>
                <w:lang w:eastAsia="bg-BG"/>
              </w:rPr>
              <w:t>Създадени подходящи механизми с цел създаване на екип от експерти</w:t>
            </w:r>
            <w:r>
              <w:rPr>
                <w:rFonts w:ascii="Times New Roman" w:eastAsia="Times New Roman" w:hAnsi="Times New Roman"/>
                <w:bCs/>
                <w:sz w:val="20"/>
                <w:szCs w:val="20"/>
                <w:bdr w:val="none" w:sz="0" w:space="0" w:color="auto" w:frame="1"/>
                <w:lang w:val="en-US" w:eastAsia="bg-BG"/>
              </w:rPr>
              <w:t>.</w:t>
            </w:r>
          </w:p>
          <w:p w14:paraId="0395E1D1" w14:textId="316715EF" w:rsidR="00723003" w:rsidRPr="009F0754" w:rsidRDefault="00723003"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Pr>
                <w:rFonts w:ascii="Times New Roman" w:eastAsia="Times New Roman" w:hAnsi="Times New Roman"/>
                <w:bCs/>
                <w:sz w:val="20"/>
                <w:szCs w:val="20"/>
                <w:bdr w:val="none" w:sz="0" w:space="0" w:color="auto" w:frame="1"/>
                <w:lang w:eastAsia="bg-BG"/>
              </w:rPr>
              <w:t>.</w:t>
            </w:r>
          </w:p>
        </w:tc>
        <w:tc>
          <w:tcPr>
            <w:tcW w:w="974" w:type="dxa"/>
          </w:tcPr>
          <w:p w14:paraId="2804CEB1" w14:textId="7D91247F" w:rsidR="00723003" w:rsidRPr="009F0754" w:rsidRDefault="00723003" w:rsidP="00834D89">
            <w:pPr>
              <w:pStyle w:val="ListParagraph"/>
              <w:spacing w:after="0" w:line="240" w:lineRule="auto"/>
              <w:ind w:left="-108"/>
              <w:jc w:val="center"/>
              <w:rPr>
                <w:rFonts w:ascii="Times New Roman" w:eastAsia="Times New Roman" w:hAnsi="Times New Roman"/>
                <w:bCs/>
                <w:sz w:val="20"/>
                <w:szCs w:val="20"/>
                <w:bdr w:val="none" w:sz="0" w:space="0" w:color="auto" w:frame="1"/>
                <w:lang w:eastAsia="bg-BG"/>
              </w:rPr>
            </w:pPr>
            <w:r w:rsidRPr="00723003">
              <w:rPr>
                <w:rFonts w:ascii="Times New Roman" w:eastAsia="Times New Roman" w:hAnsi="Times New Roman"/>
                <w:bCs/>
                <w:sz w:val="20"/>
                <w:szCs w:val="20"/>
                <w:bdr w:val="none" w:sz="0" w:space="0" w:color="auto" w:frame="1"/>
                <w:lang w:eastAsia="bg-BG"/>
              </w:rPr>
              <w:t>0/1 брой създаден механизъм</w:t>
            </w:r>
          </w:p>
        </w:tc>
        <w:tc>
          <w:tcPr>
            <w:tcW w:w="3886" w:type="dxa"/>
          </w:tcPr>
          <w:p w14:paraId="5B7A25E1" w14:textId="30487672" w:rsidR="00723003" w:rsidRPr="005B3A69" w:rsidRDefault="007E776A" w:rsidP="00834D89">
            <w:pPr>
              <w:pStyle w:val="ListParagraph"/>
              <w:spacing w:after="0" w:line="240" w:lineRule="auto"/>
              <w:ind w:left="-93"/>
              <w:jc w:val="both"/>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 xml:space="preserve">По ПОС 2021-2027г. е </w:t>
            </w:r>
            <w:r w:rsidRPr="007E776A">
              <w:rPr>
                <w:rFonts w:ascii="Times New Roman" w:eastAsia="Times New Roman" w:hAnsi="Times New Roman"/>
                <w:bCs/>
                <w:sz w:val="20"/>
                <w:szCs w:val="20"/>
                <w:bdr w:val="none" w:sz="0" w:space="0" w:color="auto" w:frame="1"/>
                <w:lang w:eastAsia="bg-BG"/>
              </w:rPr>
              <w:t>предвидена мярка за „Създаване на Национална мрежа на експерти по качество на атмосферния въздух“</w:t>
            </w:r>
          </w:p>
        </w:tc>
      </w:tr>
    </w:tbl>
    <w:p w14:paraId="01EDE0DF" w14:textId="77777777" w:rsidR="00723003" w:rsidRDefault="00723003" w:rsidP="00723003">
      <w:pPr>
        <w:spacing w:after="0" w:line="240" w:lineRule="auto"/>
        <w:ind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990"/>
        <w:gridCol w:w="3960"/>
      </w:tblGrid>
      <w:tr w:rsidR="00723003" w:rsidRPr="00B01742" w14:paraId="664F288A" w14:textId="77777777" w:rsidTr="00834D89">
        <w:trPr>
          <w:trHeight w:val="583"/>
        </w:trPr>
        <w:tc>
          <w:tcPr>
            <w:tcW w:w="4230" w:type="dxa"/>
          </w:tcPr>
          <w:p w14:paraId="1DD86E4E" w14:textId="77777777" w:rsidR="00723003" w:rsidRPr="00B01742" w:rsidRDefault="00723003" w:rsidP="00834D89">
            <w:pPr>
              <w:spacing w:after="0" w:line="240" w:lineRule="auto"/>
              <w:ind w:left="-104"/>
              <w:jc w:val="both"/>
              <w:rPr>
                <w:rFonts w:ascii="Times New Roman" w:eastAsia="Times New Roman" w:hAnsi="Times New Roman"/>
                <w:bCs/>
                <w:sz w:val="20"/>
                <w:szCs w:val="20"/>
                <w:bdr w:val="none" w:sz="0" w:space="0" w:color="auto" w:frame="1"/>
                <w:lang w:eastAsia="bg-BG"/>
              </w:rPr>
            </w:pPr>
            <w:r w:rsidRPr="00B01742">
              <w:rPr>
                <w:rFonts w:ascii="Times New Roman" w:eastAsia="Times New Roman" w:hAnsi="Times New Roman"/>
                <w:bCs/>
                <w:i/>
                <w:sz w:val="20"/>
                <w:szCs w:val="20"/>
                <w:bdr w:val="none" w:sz="0" w:space="0" w:color="auto" w:frame="1"/>
                <w:lang w:eastAsia="bg-BG"/>
              </w:rPr>
              <w:lastRenderedPageBreak/>
              <w:t>Показател за резултат</w:t>
            </w:r>
            <w:r w:rsidRPr="00B01742">
              <w:rPr>
                <w:rFonts w:ascii="Times New Roman" w:eastAsia="Times New Roman" w:hAnsi="Times New Roman"/>
                <w:bCs/>
                <w:sz w:val="20"/>
                <w:szCs w:val="20"/>
                <w:bdr w:val="none" w:sz="0" w:space="0" w:color="auto" w:frame="1"/>
                <w:lang w:eastAsia="bg-BG"/>
              </w:rPr>
              <w:t xml:space="preserve"> </w:t>
            </w:r>
            <w:r w:rsidRPr="00B01742">
              <w:rPr>
                <w:rFonts w:ascii="Times New Roman" w:eastAsia="Times New Roman" w:hAnsi="Times New Roman"/>
                <w:bCs/>
                <w:i/>
                <w:sz w:val="20"/>
                <w:szCs w:val="20"/>
                <w:bdr w:val="none" w:sz="0" w:space="0" w:color="auto" w:frame="1"/>
                <w:lang w:eastAsia="bg-BG"/>
              </w:rPr>
              <w:t xml:space="preserve">определен в Приложение </w:t>
            </w:r>
            <w:r w:rsidRPr="00B01742">
              <w:rPr>
                <w:rFonts w:ascii="Times New Roman" w:eastAsia="Times New Roman" w:hAnsi="Times New Roman"/>
                <w:bCs/>
                <w:i/>
                <w:sz w:val="20"/>
                <w:szCs w:val="20"/>
                <w:bdr w:val="none" w:sz="0" w:space="0" w:color="auto" w:frame="1"/>
                <w:lang w:val="en-US" w:eastAsia="bg-BG"/>
              </w:rPr>
              <w:t xml:space="preserve">XIV – </w:t>
            </w:r>
            <w:r w:rsidRPr="00B01742">
              <w:rPr>
                <w:rFonts w:ascii="Times New Roman" w:eastAsia="Times New Roman" w:hAnsi="Times New Roman"/>
                <w:bCs/>
                <w:i/>
                <w:sz w:val="20"/>
                <w:szCs w:val="20"/>
                <w:bdr w:val="none" w:sz="0" w:space="0" w:color="auto" w:frame="1"/>
                <w:lang w:eastAsia="bg-BG"/>
              </w:rPr>
              <w:t>„План за действие“ към НППКАВ</w:t>
            </w:r>
            <w:r w:rsidRPr="00B01742">
              <w:rPr>
                <w:rFonts w:ascii="Times New Roman" w:eastAsia="Times New Roman" w:hAnsi="Times New Roman"/>
                <w:bCs/>
                <w:i/>
                <w:sz w:val="20"/>
                <w:szCs w:val="20"/>
                <w:bdr w:val="none" w:sz="0" w:space="0" w:color="auto" w:frame="1"/>
                <w:lang w:val="en-US" w:eastAsia="bg-BG"/>
              </w:rPr>
              <w:t>:</w:t>
            </w:r>
          </w:p>
        </w:tc>
        <w:tc>
          <w:tcPr>
            <w:tcW w:w="990" w:type="dxa"/>
          </w:tcPr>
          <w:p w14:paraId="130C6F06" w14:textId="77777777" w:rsidR="00723003" w:rsidRDefault="00723003"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Целева стойност</w:t>
            </w:r>
          </w:p>
        </w:tc>
        <w:tc>
          <w:tcPr>
            <w:tcW w:w="3960" w:type="dxa"/>
          </w:tcPr>
          <w:p w14:paraId="5F0BE4A3" w14:textId="77777777" w:rsidR="00723003" w:rsidRPr="00B01742" w:rsidRDefault="00723003"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B01742">
              <w:rPr>
                <w:rFonts w:ascii="Times New Roman" w:eastAsia="Times New Roman" w:hAnsi="Times New Roman"/>
                <w:bCs/>
                <w:i/>
                <w:sz w:val="20"/>
                <w:szCs w:val="20"/>
                <w:bdr w:val="none" w:sz="0" w:space="0" w:color="auto" w:frame="1"/>
                <w:lang w:eastAsia="bg-BG"/>
              </w:rPr>
              <w:t>2023г.</w:t>
            </w:r>
          </w:p>
        </w:tc>
      </w:tr>
      <w:tr w:rsidR="00723003" w:rsidRPr="0092702E" w14:paraId="5CA3758C" w14:textId="77777777" w:rsidTr="00834D89">
        <w:tc>
          <w:tcPr>
            <w:tcW w:w="4230" w:type="dxa"/>
          </w:tcPr>
          <w:p w14:paraId="05D3227C" w14:textId="4B62279D" w:rsidR="00723003" w:rsidRPr="00B01742" w:rsidRDefault="00A61B3C"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A61B3C">
              <w:rPr>
                <w:rFonts w:ascii="Times New Roman" w:eastAsia="Times New Roman" w:hAnsi="Times New Roman"/>
                <w:bCs/>
                <w:sz w:val="20"/>
                <w:szCs w:val="20"/>
                <w:bdr w:val="none" w:sz="0" w:space="0" w:color="auto" w:frame="1"/>
                <w:lang w:eastAsia="bg-BG"/>
              </w:rPr>
              <w:t>Подобрена координация между заинтересованите страни</w:t>
            </w:r>
            <w:r w:rsidR="00723003">
              <w:rPr>
                <w:rFonts w:ascii="Times New Roman" w:eastAsia="Times New Roman" w:hAnsi="Times New Roman"/>
                <w:bCs/>
                <w:sz w:val="20"/>
                <w:szCs w:val="20"/>
                <w:bdr w:val="none" w:sz="0" w:space="0" w:color="auto" w:frame="1"/>
                <w:lang w:eastAsia="bg-BG"/>
              </w:rPr>
              <w:t>.</w:t>
            </w:r>
          </w:p>
        </w:tc>
        <w:tc>
          <w:tcPr>
            <w:tcW w:w="990" w:type="dxa"/>
          </w:tcPr>
          <w:p w14:paraId="0FDE9530" w14:textId="77777777" w:rsidR="00723003" w:rsidRDefault="00723003" w:rsidP="00834D89">
            <w:pPr>
              <w:pStyle w:val="ListParagraph"/>
              <w:spacing w:after="0" w:line="240" w:lineRule="auto"/>
              <w:ind w:left="-108"/>
              <w:jc w:val="center"/>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w:t>
            </w:r>
          </w:p>
        </w:tc>
        <w:tc>
          <w:tcPr>
            <w:tcW w:w="3960" w:type="dxa"/>
          </w:tcPr>
          <w:p w14:paraId="690E175F" w14:textId="26D317A1" w:rsidR="00723003" w:rsidRPr="00B01742" w:rsidRDefault="00BF5854" w:rsidP="00834D89">
            <w:pPr>
              <w:pStyle w:val="ListParagraph"/>
              <w:spacing w:after="0" w:line="240" w:lineRule="auto"/>
              <w:ind w:left="-108"/>
              <w:jc w:val="both"/>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Създадени условия за изпълнение на мярката.</w:t>
            </w:r>
          </w:p>
        </w:tc>
      </w:tr>
    </w:tbl>
    <w:p w14:paraId="05E15421" w14:textId="77777777" w:rsidR="00723003" w:rsidRDefault="00723003" w:rsidP="00723003">
      <w:pPr>
        <w:pStyle w:val="ListParagraph"/>
        <w:spacing w:after="0" w:line="240" w:lineRule="auto"/>
        <w:ind w:left="0" w:firstLine="1134"/>
        <w:jc w:val="both"/>
        <w:rPr>
          <w:rFonts w:ascii="Times New Roman" w:eastAsia="Times New Roman" w:hAnsi="Times New Roman"/>
          <w:bCs/>
          <w:sz w:val="24"/>
          <w:szCs w:val="24"/>
          <w:bdr w:val="none" w:sz="0" w:space="0" w:color="auto" w:frame="1"/>
          <w:lang w:eastAsia="bg-BG"/>
        </w:rPr>
      </w:pPr>
    </w:p>
    <w:p w14:paraId="471D6775" w14:textId="77777777" w:rsidR="00C3133B" w:rsidRPr="00454C31" w:rsidRDefault="00B21709">
      <w:pPr>
        <w:spacing w:after="0" w:line="240" w:lineRule="auto"/>
        <w:jc w:val="both"/>
        <w:rPr>
          <w:rFonts w:ascii="Times New Roman" w:eastAsia="Times New Roman" w:hAnsi="Times New Roman"/>
          <w:b/>
          <w:bCs/>
          <w:sz w:val="24"/>
          <w:szCs w:val="24"/>
          <w:bdr w:val="none" w:sz="0" w:space="0" w:color="auto" w:frame="1"/>
          <w:lang w:eastAsia="bg-BG"/>
        </w:rPr>
      </w:pPr>
      <w:r w:rsidRPr="00252B6B">
        <w:rPr>
          <w:rFonts w:ascii="Times New Roman" w:eastAsia="Times New Roman" w:hAnsi="Times New Roman"/>
          <w:b/>
          <w:bCs/>
          <w:i/>
          <w:sz w:val="24"/>
          <w:szCs w:val="24"/>
          <w:bdr w:val="none" w:sz="0" w:space="0" w:color="auto" w:frame="1"/>
          <w:lang w:eastAsia="bg-BG"/>
        </w:rPr>
        <w:t xml:space="preserve">Мярка: </w:t>
      </w:r>
      <w:r w:rsidR="00C3133B" w:rsidRPr="00454C31">
        <w:rPr>
          <w:rFonts w:ascii="Times New Roman" w:eastAsia="Times New Roman" w:hAnsi="Times New Roman"/>
          <w:b/>
          <w:bCs/>
          <w:sz w:val="24"/>
          <w:szCs w:val="24"/>
          <w:bdr w:val="none" w:sz="0" w:space="0" w:color="auto" w:frame="1"/>
          <w:lang w:eastAsia="bg-BG"/>
        </w:rPr>
        <w:t>Определяне на целите и обхвата на капацитета за моделиране: да включва разпространение на емисиите и трансгранично замърсяване, включително и провеждане на национално проучване на разпределението на източниците.</w:t>
      </w:r>
      <w:r w:rsidR="00C3133B" w:rsidRPr="00454C31">
        <w:rPr>
          <w:rFonts w:ascii="Times New Roman" w:hAnsi="Times New Roman"/>
          <w:b/>
        </w:rPr>
        <w:t xml:space="preserve"> </w:t>
      </w:r>
      <w:r w:rsidR="00C3133B" w:rsidRPr="00454C31">
        <w:rPr>
          <w:rFonts w:ascii="Times New Roman" w:eastAsia="Times New Roman" w:hAnsi="Times New Roman"/>
          <w:b/>
          <w:bCs/>
          <w:sz w:val="24"/>
          <w:szCs w:val="24"/>
          <w:bdr w:val="none" w:sz="0" w:space="0" w:color="auto" w:frame="1"/>
          <w:lang w:eastAsia="bg-BG"/>
        </w:rPr>
        <w:t>Създаване на подходящи институционални договорености и на първоначална програма</w:t>
      </w:r>
    </w:p>
    <w:p w14:paraId="4E16C33A" w14:textId="77777777" w:rsidR="004B7D50" w:rsidRPr="006F0B09" w:rsidRDefault="004B7D50">
      <w:pPr>
        <w:spacing w:after="0" w:line="240" w:lineRule="auto"/>
        <w:ind w:firstLine="993"/>
        <w:jc w:val="both"/>
        <w:rPr>
          <w:rFonts w:ascii="Times New Roman" w:eastAsia="Times New Roman" w:hAnsi="Times New Roman"/>
          <w:bCs/>
          <w:sz w:val="24"/>
          <w:szCs w:val="24"/>
          <w:bdr w:val="none" w:sz="0" w:space="0" w:color="auto" w:frame="1"/>
          <w:lang w:eastAsia="bg-BG"/>
        </w:rPr>
      </w:pPr>
    </w:p>
    <w:p w14:paraId="70DD1CE8" w14:textId="77777777" w:rsidR="00E07055" w:rsidRDefault="00E07055"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Незапочната.</w:t>
      </w:r>
    </w:p>
    <w:p w14:paraId="5A4C6C19" w14:textId="6DE24564" w:rsidR="001E44B5" w:rsidRPr="004A223B" w:rsidRDefault="00464B98"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C7083D">
        <w:rPr>
          <w:rFonts w:ascii="Times New Roman" w:eastAsia="Times New Roman" w:hAnsi="Times New Roman"/>
          <w:bCs/>
          <w:sz w:val="24"/>
          <w:szCs w:val="24"/>
          <w:bdr w:val="none" w:sz="0" w:space="0" w:color="auto" w:frame="1"/>
          <w:lang w:eastAsia="bg-BG"/>
        </w:rPr>
        <w:t xml:space="preserve">Целесъобразно е изпълнението </w:t>
      </w:r>
      <w:r w:rsidR="00E07055">
        <w:rPr>
          <w:rFonts w:ascii="Times New Roman" w:eastAsia="Times New Roman" w:hAnsi="Times New Roman"/>
          <w:bCs/>
          <w:sz w:val="24"/>
          <w:szCs w:val="24"/>
          <w:bdr w:val="none" w:sz="0" w:space="0" w:color="auto" w:frame="1"/>
          <w:lang w:eastAsia="bg-BG"/>
        </w:rPr>
        <w:t>на мярката</w:t>
      </w:r>
      <w:r w:rsidRPr="00C7083D">
        <w:rPr>
          <w:rFonts w:ascii="Times New Roman" w:eastAsia="Times New Roman" w:hAnsi="Times New Roman"/>
          <w:bCs/>
          <w:sz w:val="24"/>
          <w:szCs w:val="24"/>
          <w:bdr w:val="none" w:sz="0" w:space="0" w:color="auto" w:frame="1"/>
          <w:lang w:eastAsia="bg-BG"/>
        </w:rPr>
        <w:t xml:space="preserve"> да бъде съобразено с промените в </w:t>
      </w:r>
      <w:r w:rsidR="00ED2363">
        <w:rPr>
          <w:rFonts w:ascii="Times New Roman" w:eastAsia="Times New Roman" w:hAnsi="Times New Roman"/>
          <w:bCs/>
          <w:sz w:val="24"/>
          <w:szCs w:val="24"/>
          <w:bdr w:val="none" w:sz="0" w:space="0" w:color="auto" w:frame="1"/>
          <w:lang w:eastAsia="bg-BG"/>
        </w:rPr>
        <w:t xml:space="preserve">изискванията на </w:t>
      </w:r>
      <w:r w:rsidRPr="00C7083D">
        <w:rPr>
          <w:rFonts w:ascii="Times New Roman" w:eastAsia="Times New Roman" w:hAnsi="Times New Roman"/>
          <w:bCs/>
          <w:sz w:val="24"/>
          <w:szCs w:val="24"/>
          <w:bdr w:val="none" w:sz="0" w:space="0" w:color="auto" w:frame="1"/>
          <w:lang w:eastAsia="bg-BG"/>
        </w:rPr>
        <w:t>европейското законодателство по опазване чистотата на въздуха, което е в процес на преразглеждане към настоящия момент</w:t>
      </w:r>
      <w:r w:rsidR="001E44B5" w:rsidRPr="00C7083D">
        <w:rPr>
          <w:rFonts w:ascii="Times New Roman" w:eastAsia="Times New Roman" w:hAnsi="Times New Roman"/>
          <w:bCs/>
          <w:sz w:val="24"/>
          <w:szCs w:val="24"/>
          <w:bdr w:val="none" w:sz="0" w:space="0" w:color="auto" w:frame="1"/>
          <w:lang w:eastAsia="bg-BG"/>
        </w:rPr>
        <w:t>.</w:t>
      </w:r>
    </w:p>
    <w:p w14:paraId="279FD41F" w14:textId="77777777" w:rsidR="00FC2627" w:rsidRDefault="00FC2627" w:rsidP="00FC2627">
      <w:pPr>
        <w:pStyle w:val="ListParagraph"/>
        <w:spacing w:after="0" w:line="240" w:lineRule="auto"/>
        <w:ind w:left="0"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1327"/>
        <w:gridCol w:w="3710"/>
      </w:tblGrid>
      <w:tr w:rsidR="00FC2627" w:rsidRPr="009F0754" w14:paraId="4AED05FC" w14:textId="77777777" w:rsidTr="00834D89">
        <w:tc>
          <w:tcPr>
            <w:tcW w:w="4320" w:type="dxa"/>
          </w:tcPr>
          <w:p w14:paraId="39996F78" w14:textId="77777777" w:rsidR="00FC2627" w:rsidRPr="009F0754" w:rsidRDefault="00FC2627" w:rsidP="00834D89">
            <w:pPr>
              <w:spacing w:after="0" w:line="240" w:lineRule="auto"/>
              <w:ind w:left="-104"/>
              <w:jc w:val="both"/>
              <w:rPr>
                <w:rFonts w:ascii="Times New Roman" w:eastAsia="Times New Roman" w:hAnsi="Times New Roman"/>
                <w:bCs/>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Показател за изпълнение</w:t>
            </w:r>
            <w:r w:rsidRPr="009F0754">
              <w:rPr>
                <w:rFonts w:ascii="Times New Roman" w:eastAsia="Times New Roman" w:hAnsi="Times New Roman"/>
                <w:bCs/>
                <w:sz w:val="20"/>
                <w:szCs w:val="20"/>
                <w:bdr w:val="none" w:sz="0" w:space="0" w:color="auto" w:frame="1"/>
                <w:lang w:eastAsia="bg-BG"/>
              </w:rPr>
              <w:t xml:space="preserve"> </w:t>
            </w:r>
            <w:r w:rsidRPr="009F0754">
              <w:rPr>
                <w:rFonts w:ascii="Times New Roman" w:eastAsia="Times New Roman" w:hAnsi="Times New Roman"/>
                <w:bCs/>
                <w:i/>
                <w:sz w:val="20"/>
                <w:szCs w:val="20"/>
                <w:bdr w:val="none" w:sz="0" w:space="0" w:color="auto" w:frame="1"/>
                <w:lang w:eastAsia="bg-BG"/>
              </w:rPr>
              <w:t xml:space="preserve">определен в Приложение </w:t>
            </w:r>
            <w:r w:rsidRPr="009F0754">
              <w:rPr>
                <w:rFonts w:ascii="Times New Roman" w:eastAsia="Times New Roman" w:hAnsi="Times New Roman"/>
                <w:bCs/>
                <w:i/>
                <w:sz w:val="20"/>
                <w:szCs w:val="20"/>
                <w:bdr w:val="none" w:sz="0" w:space="0" w:color="auto" w:frame="1"/>
                <w:lang w:val="en-US" w:eastAsia="bg-BG"/>
              </w:rPr>
              <w:t xml:space="preserve">XIV – </w:t>
            </w:r>
            <w:r w:rsidRPr="009F0754">
              <w:rPr>
                <w:rFonts w:ascii="Times New Roman" w:eastAsia="Times New Roman" w:hAnsi="Times New Roman"/>
                <w:bCs/>
                <w:i/>
                <w:sz w:val="20"/>
                <w:szCs w:val="20"/>
                <w:bdr w:val="none" w:sz="0" w:space="0" w:color="auto" w:frame="1"/>
                <w:lang w:eastAsia="bg-BG"/>
              </w:rPr>
              <w:t>„План за действие“ към НППКАВ</w:t>
            </w:r>
            <w:r w:rsidRPr="009F0754">
              <w:rPr>
                <w:rFonts w:ascii="Times New Roman" w:eastAsia="Times New Roman" w:hAnsi="Times New Roman"/>
                <w:bCs/>
                <w:i/>
                <w:sz w:val="20"/>
                <w:szCs w:val="20"/>
                <w:bdr w:val="none" w:sz="0" w:space="0" w:color="auto" w:frame="1"/>
                <w:lang w:val="en-US" w:eastAsia="bg-BG"/>
              </w:rPr>
              <w:t>:</w:t>
            </w:r>
          </w:p>
        </w:tc>
        <w:tc>
          <w:tcPr>
            <w:tcW w:w="974" w:type="dxa"/>
          </w:tcPr>
          <w:p w14:paraId="4E563000" w14:textId="77777777" w:rsidR="00FC2627" w:rsidRPr="009F0754" w:rsidRDefault="00FC2627"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Целева стойност</w:t>
            </w:r>
          </w:p>
        </w:tc>
        <w:tc>
          <w:tcPr>
            <w:tcW w:w="3886" w:type="dxa"/>
          </w:tcPr>
          <w:p w14:paraId="5B7C4EEF" w14:textId="77777777" w:rsidR="00FC2627" w:rsidRPr="009F0754" w:rsidRDefault="00FC2627"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2023г.</w:t>
            </w:r>
          </w:p>
        </w:tc>
      </w:tr>
      <w:tr w:rsidR="00FC2627" w:rsidRPr="0092702E" w14:paraId="7C9D1507" w14:textId="77777777" w:rsidTr="00834D89">
        <w:tc>
          <w:tcPr>
            <w:tcW w:w="4320" w:type="dxa"/>
          </w:tcPr>
          <w:p w14:paraId="020B6240" w14:textId="6C69CC59" w:rsidR="00FC2627" w:rsidRPr="00723003" w:rsidRDefault="00FC2627"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FC2627">
              <w:rPr>
                <w:rFonts w:ascii="Times New Roman" w:eastAsia="Times New Roman" w:hAnsi="Times New Roman"/>
                <w:bCs/>
                <w:sz w:val="20"/>
                <w:szCs w:val="20"/>
                <w:bdr w:val="none" w:sz="0" w:space="0" w:color="auto" w:frame="1"/>
                <w:lang w:eastAsia="bg-BG"/>
              </w:rPr>
              <w:t>Създадени подходящи институционални договорености</w:t>
            </w:r>
            <w:r>
              <w:rPr>
                <w:rFonts w:ascii="Times New Roman" w:eastAsia="Times New Roman" w:hAnsi="Times New Roman"/>
                <w:bCs/>
                <w:sz w:val="20"/>
                <w:szCs w:val="20"/>
                <w:bdr w:val="none" w:sz="0" w:space="0" w:color="auto" w:frame="1"/>
                <w:lang w:val="en-US" w:eastAsia="bg-BG"/>
              </w:rPr>
              <w:t>.</w:t>
            </w:r>
          </w:p>
          <w:p w14:paraId="09C4F297" w14:textId="77777777" w:rsidR="00FC2627" w:rsidRPr="009F0754" w:rsidRDefault="00FC2627"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Pr>
                <w:rFonts w:ascii="Times New Roman" w:eastAsia="Times New Roman" w:hAnsi="Times New Roman"/>
                <w:bCs/>
                <w:sz w:val="20"/>
                <w:szCs w:val="20"/>
                <w:bdr w:val="none" w:sz="0" w:space="0" w:color="auto" w:frame="1"/>
                <w:lang w:eastAsia="bg-BG"/>
              </w:rPr>
              <w:t>.</w:t>
            </w:r>
          </w:p>
        </w:tc>
        <w:tc>
          <w:tcPr>
            <w:tcW w:w="974" w:type="dxa"/>
          </w:tcPr>
          <w:p w14:paraId="639B4D51" w14:textId="6B00BE46" w:rsidR="00FC2627" w:rsidRPr="009F0754" w:rsidRDefault="00FC2627" w:rsidP="00FC2627">
            <w:pPr>
              <w:pStyle w:val="ListParagraph"/>
              <w:spacing w:after="0" w:line="240" w:lineRule="auto"/>
              <w:ind w:left="-108"/>
              <w:jc w:val="center"/>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Неприложимо</w:t>
            </w:r>
          </w:p>
        </w:tc>
        <w:tc>
          <w:tcPr>
            <w:tcW w:w="3886" w:type="dxa"/>
          </w:tcPr>
          <w:p w14:paraId="57F211AE" w14:textId="31312FEA" w:rsidR="00FC2627" w:rsidRPr="005B3A69" w:rsidRDefault="00FC2627" w:rsidP="00834D89">
            <w:pPr>
              <w:pStyle w:val="ListParagraph"/>
              <w:spacing w:after="0" w:line="240" w:lineRule="auto"/>
              <w:ind w:left="-93"/>
              <w:jc w:val="both"/>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Не са изпълнявани дейности.</w:t>
            </w:r>
          </w:p>
        </w:tc>
      </w:tr>
    </w:tbl>
    <w:p w14:paraId="313C9F10" w14:textId="77777777" w:rsidR="00FC2627" w:rsidRDefault="00FC2627" w:rsidP="00FC2627">
      <w:pPr>
        <w:spacing w:after="0" w:line="240" w:lineRule="auto"/>
        <w:ind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990"/>
        <w:gridCol w:w="3960"/>
      </w:tblGrid>
      <w:tr w:rsidR="00FC2627" w:rsidRPr="00B01742" w14:paraId="2C532C41" w14:textId="77777777" w:rsidTr="00834D89">
        <w:trPr>
          <w:trHeight w:val="583"/>
        </w:trPr>
        <w:tc>
          <w:tcPr>
            <w:tcW w:w="4230" w:type="dxa"/>
          </w:tcPr>
          <w:p w14:paraId="7DAEE37A" w14:textId="77777777" w:rsidR="00FC2627" w:rsidRPr="00B01742" w:rsidRDefault="00FC2627" w:rsidP="00834D89">
            <w:pPr>
              <w:spacing w:after="0" w:line="240" w:lineRule="auto"/>
              <w:ind w:left="-104"/>
              <w:jc w:val="both"/>
              <w:rPr>
                <w:rFonts w:ascii="Times New Roman" w:eastAsia="Times New Roman" w:hAnsi="Times New Roman"/>
                <w:bCs/>
                <w:sz w:val="20"/>
                <w:szCs w:val="20"/>
                <w:bdr w:val="none" w:sz="0" w:space="0" w:color="auto" w:frame="1"/>
                <w:lang w:eastAsia="bg-BG"/>
              </w:rPr>
            </w:pPr>
            <w:r w:rsidRPr="00B01742">
              <w:rPr>
                <w:rFonts w:ascii="Times New Roman" w:eastAsia="Times New Roman" w:hAnsi="Times New Roman"/>
                <w:bCs/>
                <w:i/>
                <w:sz w:val="20"/>
                <w:szCs w:val="20"/>
                <w:bdr w:val="none" w:sz="0" w:space="0" w:color="auto" w:frame="1"/>
                <w:lang w:eastAsia="bg-BG"/>
              </w:rPr>
              <w:t>Показател за резултат</w:t>
            </w:r>
            <w:r w:rsidRPr="00B01742">
              <w:rPr>
                <w:rFonts w:ascii="Times New Roman" w:eastAsia="Times New Roman" w:hAnsi="Times New Roman"/>
                <w:bCs/>
                <w:sz w:val="20"/>
                <w:szCs w:val="20"/>
                <w:bdr w:val="none" w:sz="0" w:space="0" w:color="auto" w:frame="1"/>
                <w:lang w:eastAsia="bg-BG"/>
              </w:rPr>
              <w:t xml:space="preserve"> </w:t>
            </w:r>
            <w:r w:rsidRPr="00B01742">
              <w:rPr>
                <w:rFonts w:ascii="Times New Roman" w:eastAsia="Times New Roman" w:hAnsi="Times New Roman"/>
                <w:bCs/>
                <w:i/>
                <w:sz w:val="20"/>
                <w:szCs w:val="20"/>
                <w:bdr w:val="none" w:sz="0" w:space="0" w:color="auto" w:frame="1"/>
                <w:lang w:eastAsia="bg-BG"/>
              </w:rPr>
              <w:t xml:space="preserve">определен в Приложение </w:t>
            </w:r>
            <w:r w:rsidRPr="00B01742">
              <w:rPr>
                <w:rFonts w:ascii="Times New Roman" w:eastAsia="Times New Roman" w:hAnsi="Times New Roman"/>
                <w:bCs/>
                <w:i/>
                <w:sz w:val="20"/>
                <w:szCs w:val="20"/>
                <w:bdr w:val="none" w:sz="0" w:space="0" w:color="auto" w:frame="1"/>
                <w:lang w:val="en-US" w:eastAsia="bg-BG"/>
              </w:rPr>
              <w:t xml:space="preserve">XIV – </w:t>
            </w:r>
            <w:r w:rsidRPr="00B01742">
              <w:rPr>
                <w:rFonts w:ascii="Times New Roman" w:eastAsia="Times New Roman" w:hAnsi="Times New Roman"/>
                <w:bCs/>
                <w:i/>
                <w:sz w:val="20"/>
                <w:szCs w:val="20"/>
                <w:bdr w:val="none" w:sz="0" w:space="0" w:color="auto" w:frame="1"/>
                <w:lang w:eastAsia="bg-BG"/>
              </w:rPr>
              <w:t>„План за действие“ към НППКАВ</w:t>
            </w:r>
            <w:r w:rsidRPr="00B01742">
              <w:rPr>
                <w:rFonts w:ascii="Times New Roman" w:eastAsia="Times New Roman" w:hAnsi="Times New Roman"/>
                <w:bCs/>
                <w:i/>
                <w:sz w:val="20"/>
                <w:szCs w:val="20"/>
                <w:bdr w:val="none" w:sz="0" w:space="0" w:color="auto" w:frame="1"/>
                <w:lang w:val="en-US" w:eastAsia="bg-BG"/>
              </w:rPr>
              <w:t>:</w:t>
            </w:r>
          </w:p>
        </w:tc>
        <w:tc>
          <w:tcPr>
            <w:tcW w:w="990" w:type="dxa"/>
          </w:tcPr>
          <w:p w14:paraId="3959C824" w14:textId="77777777" w:rsidR="00FC2627" w:rsidRDefault="00FC2627"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Целева стойност</w:t>
            </w:r>
          </w:p>
        </w:tc>
        <w:tc>
          <w:tcPr>
            <w:tcW w:w="3960" w:type="dxa"/>
          </w:tcPr>
          <w:p w14:paraId="445FDAA1" w14:textId="77777777" w:rsidR="00FC2627" w:rsidRPr="00B01742" w:rsidRDefault="00FC2627"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B01742">
              <w:rPr>
                <w:rFonts w:ascii="Times New Roman" w:eastAsia="Times New Roman" w:hAnsi="Times New Roman"/>
                <w:bCs/>
                <w:i/>
                <w:sz w:val="20"/>
                <w:szCs w:val="20"/>
                <w:bdr w:val="none" w:sz="0" w:space="0" w:color="auto" w:frame="1"/>
                <w:lang w:eastAsia="bg-BG"/>
              </w:rPr>
              <w:t>2023г.</w:t>
            </w:r>
          </w:p>
        </w:tc>
      </w:tr>
      <w:tr w:rsidR="00FC2627" w:rsidRPr="0092702E" w14:paraId="54F073E8" w14:textId="77777777" w:rsidTr="00834D89">
        <w:tc>
          <w:tcPr>
            <w:tcW w:w="4230" w:type="dxa"/>
          </w:tcPr>
          <w:p w14:paraId="0DD58452" w14:textId="53D919B3" w:rsidR="00FC2627" w:rsidRPr="00B01742" w:rsidRDefault="00FC2627"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FC2627">
              <w:rPr>
                <w:rFonts w:ascii="Times New Roman" w:eastAsia="Times New Roman" w:hAnsi="Times New Roman"/>
                <w:bCs/>
                <w:sz w:val="20"/>
                <w:szCs w:val="20"/>
                <w:bdr w:val="none" w:sz="0" w:space="0" w:color="auto" w:frame="1"/>
                <w:lang w:eastAsia="bg-BG"/>
              </w:rPr>
              <w:t>Подобрен капацитет за моделиране</w:t>
            </w:r>
            <w:r>
              <w:rPr>
                <w:rFonts w:ascii="Times New Roman" w:eastAsia="Times New Roman" w:hAnsi="Times New Roman"/>
                <w:bCs/>
                <w:sz w:val="20"/>
                <w:szCs w:val="20"/>
                <w:bdr w:val="none" w:sz="0" w:space="0" w:color="auto" w:frame="1"/>
                <w:lang w:eastAsia="bg-BG"/>
              </w:rPr>
              <w:t>.</w:t>
            </w:r>
          </w:p>
        </w:tc>
        <w:tc>
          <w:tcPr>
            <w:tcW w:w="990" w:type="dxa"/>
          </w:tcPr>
          <w:p w14:paraId="5341F4EF" w14:textId="77777777" w:rsidR="00FC2627" w:rsidRDefault="00FC2627" w:rsidP="00834D89">
            <w:pPr>
              <w:pStyle w:val="ListParagraph"/>
              <w:spacing w:after="0" w:line="240" w:lineRule="auto"/>
              <w:ind w:left="-108"/>
              <w:jc w:val="center"/>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w:t>
            </w:r>
          </w:p>
        </w:tc>
        <w:tc>
          <w:tcPr>
            <w:tcW w:w="3960" w:type="dxa"/>
          </w:tcPr>
          <w:p w14:paraId="245E690A" w14:textId="54A6993D" w:rsidR="00FC2627" w:rsidRPr="00B01742" w:rsidRDefault="00FC2627" w:rsidP="00834D89">
            <w:pPr>
              <w:pStyle w:val="ListParagraph"/>
              <w:spacing w:after="0" w:line="240" w:lineRule="auto"/>
              <w:ind w:left="-108"/>
              <w:jc w:val="both"/>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Не може да бъде отчетен принос.</w:t>
            </w:r>
          </w:p>
        </w:tc>
      </w:tr>
    </w:tbl>
    <w:p w14:paraId="279B6BDE" w14:textId="77777777" w:rsidR="00FC2627" w:rsidRDefault="00FC2627" w:rsidP="00FC2627">
      <w:pPr>
        <w:pStyle w:val="ListParagraph"/>
        <w:spacing w:after="0" w:line="240" w:lineRule="auto"/>
        <w:ind w:left="0" w:firstLine="1134"/>
        <w:jc w:val="both"/>
        <w:rPr>
          <w:rFonts w:ascii="Times New Roman" w:eastAsia="Times New Roman" w:hAnsi="Times New Roman"/>
          <w:bCs/>
          <w:sz w:val="24"/>
          <w:szCs w:val="24"/>
          <w:bdr w:val="none" w:sz="0" w:space="0" w:color="auto" w:frame="1"/>
          <w:lang w:eastAsia="bg-BG"/>
        </w:rPr>
      </w:pPr>
    </w:p>
    <w:p w14:paraId="4F55B2F2" w14:textId="77777777" w:rsidR="0059492A" w:rsidRDefault="00B21709">
      <w:pPr>
        <w:spacing w:after="0" w:line="240" w:lineRule="auto"/>
        <w:jc w:val="both"/>
        <w:rPr>
          <w:rFonts w:ascii="Times New Roman" w:eastAsia="Times New Roman" w:hAnsi="Times New Roman"/>
          <w:b/>
          <w:bCs/>
          <w:sz w:val="24"/>
          <w:szCs w:val="24"/>
          <w:bdr w:val="none" w:sz="0" w:space="0" w:color="auto" w:frame="1"/>
          <w:lang w:eastAsia="bg-BG"/>
        </w:rPr>
      </w:pPr>
      <w:r w:rsidRPr="00252B6B">
        <w:rPr>
          <w:rFonts w:ascii="Times New Roman" w:eastAsia="Times New Roman" w:hAnsi="Times New Roman"/>
          <w:b/>
          <w:bCs/>
          <w:i/>
          <w:sz w:val="24"/>
          <w:szCs w:val="24"/>
          <w:bdr w:val="none" w:sz="0" w:space="0" w:color="auto" w:frame="1"/>
          <w:lang w:eastAsia="bg-BG"/>
        </w:rPr>
        <w:t xml:space="preserve">Мярка: </w:t>
      </w:r>
      <w:r w:rsidR="00C3133B" w:rsidRPr="00454C31">
        <w:rPr>
          <w:rFonts w:ascii="Times New Roman" w:eastAsia="Times New Roman" w:hAnsi="Times New Roman"/>
          <w:b/>
          <w:bCs/>
          <w:sz w:val="24"/>
          <w:szCs w:val="24"/>
          <w:bdr w:val="none" w:sz="0" w:space="0" w:color="auto" w:frame="1"/>
          <w:lang w:eastAsia="bg-BG"/>
        </w:rPr>
        <w:t>Определяне на обхвата и механизмите за проучване на рисковете за здравето. Стартиране и провеждане на проучването на фази</w:t>
      </w:r>
    </w:p>
    <w:p w14:paraId="25BEC8BB" w14:textId="77777777" w:rsidR="00A460A3" w:rsidRPr="00454C31" w:rsidRDefault="00A460A3">
      <w:pPr>
        <w:spacing w:after="0" w:line="240" w:lineRule="auto"/>
        <w:jc w:val="both"/>
        <w:rPr>
          <w:rFonts w:ascii="Times New Roman" w:eastAsia="Times New Roman" w:hAnsi="Times New Roman"/>
          <w:b/>
          <w:bCs/>
          <w:sz w:val="24"/>
          <w:szCs w:val="24"/>
          <w:bdr w:val="none" w:sz="0" w:space="0" w:color="auto" w:frame="1"/>
          <w:lang w:eastAsia="bg-BG"/>
        </w:rPr>
      </w:pPr>
    </w:p>
    <w:p w14:paraId="41C1094B" w14:textId="77777777" w:rsidR="00A33C09" w:rsidRPr="00A33C09" w:rsidRDefault="00A33C09" w:rsidP="00A33C09">
      <w:pPr>
        <w:spacing w:after="0" w:line="240" w:lineRule="auto"/>
        <w:ind w:firstLine="1134"/>
        <w:jc w:val="both"/>
        <w:rPr>
          <w:rFonts w:ascii="Times New Roman" w:eastAsia="Times New Roman" w:hAnsi="Times New Roman"/>
          <w:bCs/>
          <w:sz w:val="24"/>
          <w:szCs w:val="24"/>
          <w:bdr w:val="none" w:sz="0" w:space="0" w:color="auto" w:frame="1"/>
          <w:lang w:eastAsia="bg-BG"/>
        </w:rPr>
      </w:pPr>
      <w:r w:rsidRPr="00A33C09">
        <w:rPr>
          <w:rFonts w:ascii="Times New Roman" w:eastAsia="Times New Roman" w:hAnsi="Times New Roman"/>
          <w:bCs/>
          <w:sz w:val="24"/>
          <w:szCs w:val="24"/>
          <w:bdr w:val="none" w:sz="0" w:space="0" w:color="auto" w:frame="1"/>
          <w:lang w:eastAsia="bg-BG"/>
        </w:rPr>
        <w:t>В процес на изпълнение.</w:t>
      </w:r>
    </w:p>
    <w:p w14:paraId="2327671B" w14:textId="3C9EC951" w:rsidR="004510FF" w:rsidRDefault="006555AF"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252B6B">
        <w:rPr>
          <w:rFonts w:ascii="Times New Roman" w:eastAsia="Times New Roman" w:hAnsi="Times New Roman"/>
          <w:bCs/>
          <w:sz w:val="24"/>
          <w:szCs w:val="24"/>
          <w:bdr w:val="none" w:sz="0" w:space="0" w:color="auto" w:frame="1"/>
          <w:lang w:eastAsia="bg-BG"/>
        </w:rPr>
        <w:t xml:space="preserve">Националния център по обществено здраве и анализи участва като партньор в изпълнение на Националната научна програма </w:t>
      </w:r>
      <w:r w:rsidR="00814F79" w:rsidRPr="00252B6B">
        <w:rPr>
          <w:rFonts w:ascii="Times New Roman" w:eastAsia="Times New Roman" w:hAnsi="Times New Roman"/>
          <w:bCs/>
          <w:sz w:val="24"/>
          <w:szCs w:val="24"/>
          <w:bdr w:val="none" w:sz="0" w:space="0" w:color="auto" w:frame="1"/>
          <w:lang w:eastAsia="bg-BG"/>
        </w:rPr>
        <w:t xml:space="preserve">(ННП) </w:t>
      </w:r>
      <w:r w:rsidRPr="00252B6B">
        <w:rPr>
          <w:rFonts w:ascii="Times New Roman" w:eastAsia="Times New Roman" w:hAnsi="Times New Roman"/>
          <w:bCs/>
          <w:sz w:val="24"/>
          <w:szCs w:val="24"/>
          <w:bdr w:val="none" w:sz="0" w:space="0" w:color="auto" w:frame="1"/>
          <w:lang w:eastAsia="bg-BG"/>
        </w:rPr>
        <w:t>„Опазване на околната среда и намаляване на риска от неблагоприятни явлени</w:t>
      </w:r>
      <w:r w:rsidR="002E2A3B" w:rsidRPr="00252B6B">
        <w:rPr>
          <w:rFonts w:ascii="Times New Roman" w:eastAsia="Times New Roman" w:hAnsi="Times New Roman"/>
          <w:bCs/>
          <w:sz w:val="24"/>
          <w:szCs w:val="24"/>
          <w:bdr w:val="none" w:sz="0" w:space="0" w:color="auto" w:frame="1"/>
          <w:lang w:eastAsia="bg-BG"/>
        </w:rPr>
        <w:t>я и бедствия</w:t>
      </w:r>
      <w:r w:rsidRPr="00252B6B">
        <w:rPr>
          <w:rFonts w:ascii="Times New Roman" w:eastAsia="Times New Roman" w:hAnsi="Times New Roman"/>
          <w:bCs/>
          <w:sz w:val="24"/>
          <w:szCs w:val="24"/>
          <w:bdr w:val="none" w:sz="0" w:space="0" w:color="auto" w:frame="1"/>
          <w:lang w:eastAsia="bg-BG"/>
        </w:rPr>
        <w:t>“</w:t>
      </w:r>
      <w:r w:rsidR="002E2A3B" w:rsidRPr="00252B6B">
        <w:rPr>
          <w:rFonts w:ascii="Times New Roman" w:eastAsia="Times New Roman" w:hAnsi="Times New Roman"/>
          <w:bCs/>
          <w:sz w:val="24"/>
          <w:szCs w:val="24"/>
          <w:bdr w:val="none" w:sz="0" w:space="0" w:color="auto" w:frame="1"/>
          <w:lang w:eastAsia="bg-BG"/>
        </w:rPr>
        <w:t xml:space="preserve"> (2018-2023). Програмата е одобрена с Решение на МС №</w:t>
      </w:r>
      <w:r w:rsidR="0048079F">
        <w:rPr>
          <w:rFonts w:ascii="Times New Roman" w:eastAsia="Times New Roman" w:hAnsi="Times New Roman"/>
          <w:bCs/>
          <w:sz w:val="24"/>
          <w:szCs w:val="24"/>
          <w:bdr w:val="none" w:sz="0" w:space="0" w:color="auto" w:frame="1"/>
          <w:lang w:eastAsia="bg-BG"/>
        </w:rPr>
        <w:t xml:space="preserve"> </w:t>
      </w:r>
      <w:r w:rsidR="002E2A3B" w:rsidRPr="00252B6B">
        <w:rPr>
          <w:rFonts w:ascii="Times New Roman" w:eastAsia="Times New Roman" w:hAnsi="Times New Roman"/>
          <w:bCs/>
          <w:sz w:val="24"/>
          <w:szCs w:val="24"/>
          <w:bdr w:val="none" w:sz="0" w:space="0" w:color="auto" w:frame="1"/>
          <w:lang w:eastAsia="bg-BG"/>
        </w:rPr>
        <w:t>577/17.08.2018г. и финансирана от М</w:t>
      </w:r>
      <w:r w:rsidR="005756D9" w:rsidRPr="00252B6B">
        <w:rPr>
          <w:rFonts w:ascii="Times New Roman" w:eastAsia="Times New Roman" w:hAnsi="Times New Roman"/>
          <w:bCs/>
          <w:sz w:val="24"/>
          <w:szCs w:val="24"/>
          <w:bdr w:val="none" w:sz="0" w:space="0" w:color="auto" w:frame="1"/>
          <w:lang w:eastAsia="bg-BG"/>
        </w:rPr>
        <w:t>инистерството на образованието и науката</w:t>
      </w:r>
      <w:r w:rsidR="004510FF">
        <w:rPr>
          <w:rFonts w:ascii="Times New Roman" w:eastAsia="Times New Roman" w:hAnsi="Times New Roman"/>
          <w:bCs/>
          <w:sz w:val="24"/>
          <w:szCs w:val="24"/>
          <w:bdr w:val="none" w:sz="0" w:space="0" w:color="auto" w:frame="1"/>
          <w:lang w:eastAsia="bg-BG"/>
        </w:rPr>
        <w:t xml:space="preserve">, удължена с ПМС №339 от </w:t>
      </w:r>
      <w:r w:rsidR="00AC28C2">
        <w:rPr>
          <w:rFonts w:ascii="Times New Roman" w:eastAsia="Times New Roman" w:hAnsi="Times New Roman"/>
          <w:bCs/>
          <w:sz w:val="24"/>
          <w:szCs w:val="24"/>
          <w:bdr w:val="none" w:sz="0" w:space="0" w:color="auto" w:frame="1"/>
          <w:lang w:eastAsia="bg-BG"/>
        </w:rPr>
        <w:t>0</w:t>
      </w:r>
      <w:r w:rsidR="004510FF">
        <w:rPr>
          <w:rFonts w:ascii="Times New Roman" w:eastAsia="Times New Roman" w:hAnsi="Times New Roman"/>
          <w:bCs/>
          <w:sz w:val="24"/>
          <w:szCs w:val="24"/>
          <w:bdr w:val="none" w:sz="0" w:space="0" w:color="auto" w:frame="1"/>
          <w:lang w:eastAsia="bg-BG"/>
        </w:rPr>
        <w:t>3.05.2023г</w:t>
      </w:r>
      <w:r w:rsidR="002E2A3B" w:rsidRPr="00252B6B">
        <w:rPr>
          <w:rFonts w:ascii="Times New Roman" w:eastAsia="Times New Roman" w:hAnsi="Times New Roman"/>
          <w:bCs/>
          <w:sz w:val="24"/>
          <w:szCs w:val="24"/>
          <w:bdr w:val="none" w:sz="0" w:space="0" w:color="auto" w:frame="1"/>
          <w:lang w:eastAsia="bg-BG"/>
        </w:rPr>
        <w:t>.</w:t>
      </w:r>
    </w:p>
    <w:p w14:paraId="39AB40FD" w14:textId="6894E17D" w:rsidR="00C3133B" w:rsidRPr="00252B6B" w:rsidRDefault="00267D7C"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252B6B">
        <w:rPr>
          <w:rFonts w:ascii="Times New Roman" w:eastAsia="Times New Roman" w:hAnsi="Times New Roman"/>
          <w:bCs/>
          <w:sz w:val="24"/>
          <w:szCs w:val="24"/>
          <w:bdr w:val="none" w:sz="0" w:space="0" w:color="auto" w:frame="1"/>
          <w:lang w:eastAsia="bg-BG"/>
        </w:rPr>
        <w:t xml:space="preserve">В изпълнение на задачите, поставени в РП </w:t>
      </w:r>
      <w:r w:rsidRPr="00252B6B">
        <w:rPr>
          <w:rFonts w:ascii="Times New Roman" w:eastAsia="Times New Roman" w:hAnsi="Times New Roman"/>
          <w:bCs/>
          <w:sz w:val="24"/>
          <w:szCs w:val="24"/>
          <w:bdr w:val="none" w:sz="0" w:space="0" w:color="auto" w:frame="1"/>
          <w:lang w:val="en-US" w:eastAsia="bg-BG"/>
        </w:rPr>
        <w:t>I</w:t>
      </w:r>
      <w:r w:rsidRPr="00252B6B">
        <w:rPr>
          <w:rFonts w:ascii="Times New Roman" w:eastAsia="Times New Roman" w:hAnsi="Times New Roman"/>
          <w:bCs/>
          <w:sz w:val="24"/>
          <w:szCs w:val="24"/>
          <w:bdr w:val="none" w:sz="0" w:space="0" w:color="auto" w:frame="1"/>
          <w:lang w:eastAsia="bg-BG"/>
        </w:rPr>
        <w:t>.5, касаещи оценката на влиянието на качеството на атмосферния въздух в градската среда върху здравето</w:t>
      </w:r>
      <w:r w:rsidR="004510FF">
        <w:rPr>
          <w:rFonts w:ascii="Times New Roman" w:eastAsia="Times New Roman" w:hAnsi="Times New Roman"/>
          <w:bCs/>
          <w:sz w:val="24"/>
          <w:szCs w:val="24"/>
          <w:bdr w:val="none" w:sz="0" w:space="0" w:color="auto" w:frame="1"/>
          <w:lang w:eastAsia="bg-BG"/>
        </w:rPr>
        <w:t xml:space="preserve">, съвместно със </w:t>
      </w:r>
      <w:r w:rsidR="004510FF" w:rsidRPr="004510FF">
        <w:rPr>
          <w:rFonts w:ascii="Times New Roman" w:eastAsia="Times New Roman" w:hAnsi="Times New Roman"/>
          <w:bCs/>
          <w:sz w:val="24"/>
          <w:szCs w:val="24"/>
          <w:bdr w:val="none" w:sz="0" w:space="0" w:color="auto" w:frame="1"/>
          <w:lang w:eastAsia="bg-BG"/>
        </w:rPr>
        <w:t>Софийски университет „Св. Климент Охридски“, Българска академия на науките и Технически университет - София, през 2023г</w:t>
      </w:r>
      <w:r w:rsidR="004510FF">
        <w:rPr>
          <w:rFonts w:ascii="Times New Roman" w:eastAsia="Times New Roman" w:hAnsi="Times New Roman"/>
          <w:bCs/>
          <w:sz w:val="24"/>
          <w:szCs w:val="24"/>
          <w:bdr w:val="none" w:sz="0" w:space="0" w:color="auto" w:frame="1"/>
          <w:lang w:eastAsia="bg-BG"/>
        </w:rPr>
        <w:t>,</w:t>
      </w:r>
      <w:r w:rsidRPr="00252B6B">
        <w:rPr>
          <w:rFonts w:ascii="Times New Roman" w:eastAsia="Times New Roman" w:hAnsi="Times New Roman"/>
          <w:bCs/>
          <w:sz w:val="24"/>
          <w:szCs w:val="24"/>
          <w:bdr w:val="none" w:sz="0" w:space="0" w:color="auto" w:frame="1"/>
          <w:lang w:eastAsia="bg-BG"/>
        </w:rPr>
        <w:t xml:space="preserve"> с</w:t>
      </w:r>
      <w:r w:rsidR="000E5F8C" w:rsidRPr="00252B6B">
        <w:rPr>
          <w:rFonts w:ascii="Times New Roman" w:eastAsia="Times New Roman" w:hAnsi="Times New Roman"/>
          <w:bCs/>
          <w:sz w:val="24"/>
          <w:szCs w:val="24"/>
          <w:bdr w:val="none" w:sz="0" w:space="0" w:color="auto" w:frame="1"/>
          <w:lang w:eastAsia="bg-BG"/>
        </w:rPr>
        <w:t>а</w:t>
      </w:r>
      <w:r w:rsidRPr="00252B6B">
        <w:rPr>
          <w:rFonts w:ascii="Times New Roman" w:eastAsia="Times New Roman" w:hAnsi="Times New Roman"/>
          <w:bCs/>
          <w:sz w:val="24"/>
          <w:szCs w:val="24"/>
          <w:bdr w:val="none" w:sz="0" w:space="0" w:color="auto" w:frame="1"/>
          <w:lang w:eastAsia="bg-BG"/>
        </w:rPr>
        <w:t xml:space="preserve"> извърш</w:t>
      </w:r>
      <w:r w:rsidR="000E5F8C" w:rsidRPr="00252B6B">
        <w:rPr>
          <w:rFonts w:ascii="Times New Roman" w:eastAsia="Times New Roman" w:hAnsi="Times New Roman"/>
          <w:bCs/>
          <w:sz w:val="24"/>
          <w:szCs w:val="24"/>
          <w:bdr w:val="none" w:sz="0" w:space="0" w:color="auto" w:frame="1"/>
          <w:lang w:eastAsia="bg-BG"/>
        </w:rPr>
        <w:t>ени</w:t>
      </w:r>
      <w:r w:rsidRPr="00252B6B">
        <w:rPr>
          <w:rFonts w:ascii="Times New Roman" w:eastAsia="Times New Roman" w:hAnsi="Times New Roman"/>
          <w:bCs/>
          <w:sz w:val="24"/>
          <w:szCs w:val="24"/>
          <w:bdr w:val="none" w:sz="0" w:space="0" w:color="auto" w:frame="1"/>
          <w:lang w:eastAsia="bg-BG"/>
        </w:rPr>
        <w:t xml:space="preserve"> следните дейности:</w:t>
      </w:r>
    </w:p>
    <w:p w14:paraId="79E8FD01" w14:textId="6F8DD144" w:rsidR="00F34CA2" w:rsidRPr="00F34CA2" w:rsidRDefault="00F34CA2" w:rsidP="00F34CA2">
      <w:pPr>
        <w:widowControl w:val="0"/>
        <w:numPr>
          <w:ilvl w:val="0"/>
          <w:numId w:val="11"/>
        </w:numPr>
        <w:spacing w:after="120" w:line="240" w:lineRule="auto"/>
        <w:ind w:left="0" w:firstLine="1134"/>
        <w:contextualSpacing/>
        <w:jc w:val="both"/>
        <w:rPr>
          <w:rFonts w:ascii="Times New Roman" w:hAnsi="Times New Roman"/>
          <w:i/>
          <w:sz w:val="24"/>
          <w:szCs w:val="24"/>
        </w:rPr>
      </w:pPr>
      <w:r w:rsidRPr="00F34CA2">
        <w:rPr>
          <w:rFonts w:ascii="Times New Roman" w:hAnsi="Times New Roman"/>
          <w:sz w:val="24"/>
          <w:szCs w:val="24"/>
        </w:rPr>
        <w:t>На база данните за дневната заболеваемост (хоспитализации) поради и</w:t>
      </w:r>
      <w:r w:rsidR="008B3808">
        <w:rPr>
          <w:rFonts w:ascii="Times New Roman" w:hAnsi="Times New Roman"/>
          <w:sz w:val="24"/>
          <w:szCs w:val="24"/>
        </w:rPr>
        <w:t>схемична болест на сърцето</w:t>
      </w:r>
      <w:r w:rsidRPr="00F34CA2">
        <w:rPr>
          <w:rFonts w:ascii="Times New Roman" w:hAnsi="Times New Roman"/>
          <w:sz w:val="24"/>
          <w:szCs w:val="24"/>
        </w:rPr>
        <w:t>, инсулт и захарен диабет, данните за концентрациите на замърсителите, отчетени в АИС „Хиподрума“, гр. София и направените статистически анализи, е изчислена връзката между дневните и отложени в рамките на до една седмица концентрации на ФПЧ</w:t>
      </w:r>
      <w:r w:rsidRPr="00F34CA2">
        <w:rPr>
          <w:rFonts w:ascii="Times New Roman" w:hAnsi="Times New Roman"/>
          <w:sz w:val="24"/>
          <w:szCs w:val="24"/>
          <w:vertAlign w:val="subscript"/>
        </w:rPr>
        <w:t>2.5</w:t>
      </w:r>
      <w:r w:rsidRPr="00F34CA2">
        <w:rPr>
          <w:rFonts w:ascii="Times New Roman" w:hAnsi="Times New Roman"/>
          <w:sz w:val="24"/>
          <w:szCs w:val="24"/>
        </w:rPr>
        <w:t>, ФПЧ</w:t>
      </w:r>
      <w:r w:rsidRPr="00F34CA2">
        <w:rPr>
          <w:rFonts w:ascii="Times New Roman" w:hAnsi="Times New Roman"/>
          <w:sz w:val="24"/>
          <w:szCs w:val="24"/>
          <w:vertAlign w:val="subscript"/>
        </w:rPr>
        <w:t>10</w:t>
      </w:r>
      <w:r w:rsidRPr="00F34CA2">
        <w:rPr>
          <w:rFonts w:ascii="Times New Roman" w:hAnsi="Times New Roman"/>
          <w:sz w:val="24"/>
          <w:szCs w:val="24"/>
        </w:rPr>
        <w:t>, NO</w:t>
      </w:r>
      <w:r w:rsidRPr="00F34CA2">
        <w:rPr>
          <w:rFonts w:ascii="Times New Roman" w:hAnsi="Times New Roman"/>
          <w:sz w:val="24"/>
          <w:szCs w:val="24"/>
          <w:vertAlign w:val="subscript"/>
        </w:rPr>
        <w:t>2</w:t>
      </w:r>
      <w:r w:rsidRPr="00F34CA2">
        <w:rPr>
          <w:rFonts w:ascii="Times New Roman" w:hAnsi="Times New Roman"/>
          <w:sz w:val="24"/>
          <w:szCs w:val="24"/>
        </w:rPr>
        <w:t>, SO</w:t>
      </w:r>
      <w:r w:rsidRPr="00F34CA2">
        <w:rPr>
          <w:rFonts w:ascii="Times New Roman" w:hAnsi="Times New Roman"/>
          <w:sz w:val="24"/>
          <w:szCs w:val="24"/>
          <w:vertAlign w:val="subscript"/>
        </w:rPr>
        <w:t>2</w:t>
      </w:r>
      <w:r w:rsidRPr="00F34CA2">
        <w:rPr>
          <w:rFonts w:ascii="Times New Roman" w:hAnsi="Times New Roman"/>
          <w:sz w:val="24"/>
          <w:szCs w:val="24"/>
        </w:rPr>
        <w:t>, O</w:t>
      </w:r>
      <w:r w:rsidRPr="00F34CA2">
        <w:rPr>
          <w:rFonts w:ascii="Times New Roman" w:hAnsi="Times New Roman"/>
          <w:sz w:val="24"/>
          <w:szCs w:val="24"/>
          <w:vertAlign w:val="subscript"/>
        </w:rPr>
        <w:t>3</w:t>
      </w:r>
      <w:r w:rsidRPr="00F34CA2">
        <w:rPr>
          <w:rFonts w:ascii="Times New Roman" w:hAnsi="Times New Roman"/>
          <w:sz w:val="24"/>
          <w:szCs w:val="24"/>
        </w:rPr>
        <w:t xml:space="preserve">, CO и риска от хоспитализация от инсулт, исхемична болест на сърцето и диабет в гр. София. Изследван е периода 2009-2018г, при мъже и жени под и над 65 годишна възраст. Резултатите са публикувани в списание с </w:t>
      </w:r>
      <w:proofErr w:type="spellStart"/>
      <w:r w:rsidRPr="00F34CA2">
        <w:rPr>
          <w:rFonts w:ascii="Times New Roman" w:hAnsi="Times New Roman"/>
          <w:sz w:val="24"/>
          <w:szCs w:val="24"/>
        </w:rPr>
        <w:t>импакт</w:t>
      </w:r>
      <w:proofErr w:type="spellEnd"/>
      <w:r w:rsidRPr="00F34CA2">
        <w:rPr>
          <w:rFonts w:ascii="Times New Roman" w:hAnsi="Times New Roman"/>
          <w:sz w:val="24"/>
          <w:szCs w:val="24"/>
        </w:rPr>
        <w:t xml:space="preserve"> фактор</w:t>
      </w:r>
      <w:r w:rsidR="00AC28C2">
        <w:rPr>
          <w:rFonts w:ascii="Times New Roman" w:hAnsi="Times New Roman"/>
          <w:sz w:val="24"/>
          <w:szCs w:val="24"/>
        </w:rPr>
        <w:t>.</w:t>
      </w:r>
      <w:r w:rsidRPr="00F34CA2">
        <w:rPr>
          <w:rFonts w:ascii="Times New Roman" w:hAnsi="Times New Roman"/>
          <w:i/>
          <w:sz w:val="24"/>
          <w:szCs w:val="24"/>
        </w:rPr>
        <w:t xml:space="preserve"> </w:t>
      </w:r>
    </w:p>
    <w:p w14:paraId="7A3EFA0F" w14:textId="43223E7E" w:rsidR="00F34CA2" w:rsidRPr="00F34CA2" w:rsidRDefault="00F34CA2" w:rsidP="00F34CA2">
      <w:pPr>
        <w:widowControl w:val="0"/>
        <w:numPr>
          <w:ilvl w:val="0"/>
          <w:numId w:val="11"/>
        </w:numPr>
        <w:spacing w:after="120" w:line="240" w:lineRule="auto"/>
        <w:ind w:left="0" w:firstLine="1134"/>
        <w:contextualSpacing/>
        <w:jc w:val="both"/>
        <w:rPr>
          <w:rFonts w:ascii="Times New Roman" w:hAnsi="Times New Roman"/>
          <w:sz w:val="24"/>
          <w:szCs w:val="24"/>
        </w:rPr>
      </w:pPr>
      <w:r w:rsidRPr="00F34CA2">
        <w:rPr>
          <w:rFonts w:ascii="Times New Roman" w:hAnsi="Times New Roman"/>
          <w:sz w:val="24"/>
          <w:szCs w:val="24"/>
        </w:rPr>
        <w:t xml:space="preserve">Обхватът на изследването е разширен </w:t>
      </w:r>
      <w:r w:rsidR="008B3808">
        <w:rPr>
          <w:rFonts w:ascii="Times New Roman" w:hAnsi="Times New Roman"/>
          <w:sz w:val="24"/>
          <w:szCs w:val="24"/>
        </w:rPr>
        <w:t xml:space="preserve">с </w:t>
      </w:r>
      <w:r w:rsidRPr="00F34CA2">
        <w:rPr>
          <w:rFonts w:ascii="Times New Roman" w:hAnsi="Times New Roman"/>
          <w:sz w:val="24"/>
          <w:szCs w:val="24"/>
        </w:rPr>
        <w:t xml:space="preserve">градовете Пловдив и Варна. Използвани са данни за дневните хоспитализации за заболяванията, описани в дейност РП.I.5.1-3 (Демографска/здравна информация) на територията на тези населени места и данни за атмосферните замърсители получени от ИАОС, отчетени от фоновите станции „Каменица“ в Пловдив и „Ангел Кънчев“ и „Батак“ във Варна. </w:t>
      </w:r>
    </w:p>
    <w:p w14:paraId="5D0C0476" w14:textId="77777777" w:rsidR="00F34CA2" w:rsidRPr="00F34CA2" w:rsidRDefault="00F34CA2" w:rsidP="007427EC">
      <w:pPr>
        <w:widowControl w:val="0"/>
        <w:numPr>
          <w:ilvl w:val="0"/>
          <w:numId w:val="11"/>
        </w:numPr>
        <w:spacing w:after="120" w:line="240" w:lineRule="auto"/>
        <w:ind w:left="0" w:firstLine="1134"/>
        <w:contextualSpacing/>
        <w:jc w:val="both"/>
        <w:rPr>
          <w:rFonts w:ascii="Times New Roman" w:hAnsi="Times New Roman"/>
          <w:sz w:val="24"/>
          <w:szCs w:val="24"/>
        </w:rPr>
      </w:pPr>
      <w:r w:rsidRPr="00F34CA2">
        <w:rPr>
          <w:rFonts w:ascii="Times New Roman" w:hAnsi="Times New Roman"/>
          <w:sz w:val="24"/>
          <w:szCs w:val="24"/>
        </w:rPr>
        <w:lastRenderedPageBreak/>
        <w:t xml:space="preserve">Въз основа на събраните данни през 2024г ще се изготви каталог на най-типичните и обществено значими заболявания, свързани с въздушната среда и градската въздушна среда, което ще бъде осъществено в </w:t>
      </w:r>
      <w:r w:rsidR="00FF525B">
        <w:rPr>
          <w:rFonts w:ascii="Times New Roman" w:hAnsi="Times New Roman"/>
          <w:sz w:val="24"/>
          <w:szCs w:val="24"/>
        </w:rPr>
        <w:t>края на периода на Програмата.</w:t>
      </w:r>
    </w:p>
    <w:p w14:paraId="31141C2D" w14:textId="6AF37742" w:rsidR="00F34CA2" w:rsidRPr="00F34CA2" w:rsidRDefault="00AC28C2" w:rsidP="007427EC">
      <w:pPr>
        <w:spacing w:after="120" w:line="240" w:lineRule="auto"/>
        <w:ind w:firstLine="1134"/>
        <w:jc w:val="both"/>
        <w:rPr>
          <w:rFonts w:ascii="Times New Roman" w:hAnsi="Times New Roman"/>
          <w:sz w:val="24"/>
          <w:szCs w:val="24"/>
        </w:rPr>
      </w:pPr>
      <w:r>
        <w:rPr>
          <w:rFonts w:ascii="Times New Roman" w:hAnsi="Times New Roman"/>
          <w:sz w:val="24"/>
          <w:szCs w:val="24"/>
        </w:rPr>
        <w:t>Според</w:t>
      </w:r>
      <w:r w:rsidR="001A449F">
        <w:rPr>
          <w:rFonts w:ascii="Times New Roman" w:hAnsi="Times New Roman"/>
          <w:sz w:val="24"/>
          <w:szCs w:val="24"/>
        </w:rPr>
        <w:t xml:space="preserve"> ННП „Околна среда“ </w:t>
      </w:r>
      <w:r>
        <w:rPr>
          <w:rFonts w:ascii="Times New Roman" w:hAnsi="Times New Roman"/>
          <w:sz w:val="24"/>
          <w:szCs w:val="24"/>
        </w:rPr>
        <w:t>е</w:t>
      </w:r>
      <w:r w:rsidR="00F34CA2" w:rsidRPr="00F34CA2">
        <w:rPr>
          <w:rFonts w:ascii="Times New Roman" w:hAnsi="Times New Roman"/>
          <w:sz w:val="24"/>
          <w:szCs w:val="24"/>
        </w:rPr>
        <w:t>дна от основните задачи е да предостави научно обосновани доказателства, въз основа на които компетентните органи да имат възможност да вземат решения по отношение на политики и мерки за ограничаване замърсяването на атмосферния въздух и въздуха в градска среда.</w:t>
      </w:r>
    </w:p>
    <w:p w14:paraId="2B7A56FF" w14:textId="23B14321" w:rsidR="00BD0C63" w:rsidRPr="00252B6B" w:rsidRDefault="00BD0C63"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252B6B">
        <w:rPr>
          <w:rFonts w:ascii="Times New Roman" w:eastAsia="Times New Roman" w:hAnsi="Times New Roman"/>
          <w:bCs/>
          <w:sz w:val="24"/>
          <w:szCs w:val="24"/>
          <w:bdr w:val="none" w:sz="0" w:space="0" w:color="auto" w:frame="1"/>
          <w:lang w:eastAsia="bg-BG"/>
        </w:rPr>
        <w:t>Разработените модели и прогнози в рамките ННП „Околна среда“ могат да бъдат база за вземане на решения и оценка на ефективността на предприетите от общините мерки</w:t>
      </w:r>
      <w:r w:rsidR="00353A27" w:rsidRPr="00252B6B">
        <w:rPr>
          <w:rFonts w:ascii="Times New Roman" w:eastAsia="Times New Roman" w:hAnsi="Times New Roman"/>
          <w:bCs/>
          <w:sz w:val="24"/>
          <w:szCs w:val="24"/>
          <w:bdr w:val="none" w:sz="0" w:space="0" w:color="auto" w:frame="1"/>
          <w:lang w:eastAsia="bg-BG"/>
        </w:rPr>
        <w:t xml:space="preserve"> за ограничаване на замърсяването</w:t>
      </w:r>
      <w:r w:rsidRPr="00252B6B">
        <w:rPr>
          <w:rFonts w:ascii="Times New Roman" w:eastAsia="Times New Roman" w:hAnsi="Times New Roman"/>
          <w:bCs/>
          <w:sz w:val="24"/>
          <w:szCs w:val="24"/>
          <w:bdr w:val="none" w:sz="0" w:space="0" w:color="auto" w:frame="1"/>
          <w:lang w:eastAsia="bg-BG"/>
        </w:rPr>
        <w:t>.</w:t>
      </w:r>
    </w:p>
    <w:p w14:paraId="0F684E54" w14:textId="13F2F47D" w:rsidR="00267D7C" w:rsidRPr="00252B6B" w:rsidRDefault="00771381"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r w:rsidRPr="00252B6B">
        <w:rPr>
          <w:rFonts w:ascii="Times New Roman" w:eastAsia="Times New Roman" w:hAnsi="Times New Roman"/>
          <w:bCs/>
          <w:sz w:val="24"/>
          <w:szCs w:val="24"/>
          <w:bdr w:val="none" w:sz="0" w:space="0" w:color="auto" w:frame="1"/>
          <w:lang w:eastAsia="bg-BG"/>
        </w:rPr>
        <w:t xml:space="preserve">Подробните отчети по ННП „Околна среда“ могат да бъдат намерени на </w:t>
      </w:r>
      <w:r w:rsidR="005756D9" w:rsidRPr="00252B6B">
        <w:rPr>
          <w:rFonts w:ascii="Times New Roman" w:eastAsia="Times New Roman" w:hAnsi="Times New Roman"/>
          <w:bCs/>
          <w:sz w:val="24"/>
          <w:szCs w:val="24"/>
          <w:bdr w:val="none" w:sz="0" w:space="0" w:color="auto" w:frame="1"/>
          <w:lang w:eastAsia="bg-BG"/>
        </w:rPr>
        <w:t>интернет страницата</w:t>
      </w:r>
      <w:r w:rsidRPr="00252B6B">
        <w:rPr>
          <w:rFonts w:ascii="Times New Roman" w:eastAsia="Times New Roman" w:hAnsi="Times New Roman"/>
          <w:bCs/>
          <w:sz w:val="24"/>
          <w:szCs w:val="24"/>
          <w:bdr w:val="none" w:sz="0" w:space="0" w:color="auto" w:frame="1"/>
          <w:lang w:eastAsia="bg-BG"/>
        </w:rPr>
        <w:t xml:space="preserve"> на Програмата: </w:t>
      </w:r>
      <w:hyperlink r:id="rId10" w:history="1">
        <w:r w:rsidRPr="00454C31">
          <w:rPr>
            <w:rStyle w:val="Hyperlink"/>
            <w:rFonts w:ascii="Times New Roman" w:eastAsia="Times New Roman" w:hAnsi="Times New Roman"/>
            <w:bCs/>
            <w:color w:val="auto"/>
            <w:sz w:val="24"/>
            <w:szCs w:val="24"/>
            <w:bdr w:val="none" w:sz="0" w:space="0" w:color="auto" w:frame="1"/>
            <w:lang w:eastAsia="bg-BG"/>
          </w:rPr>
          <w:t>https://nnpos.wordpress.com/</w:t>
        </w:r>
      </w:hyperlink>
      <w:r w:rsidR="00AC28C2">
        <w:rPr>
          <w:rStyle w:val="Hyperlink"/>
          <w:rFonts w:ascii="Times New Roman" w:eastAsia="Times New Roman" w:hAnsi="Times New Roman"/>
          <w:bCs/>
          <w:color w:val="auto"/>
          <w:sz w:val="24"/>
          <w:szCs w:val="24"/>
          <w:bdr w:val="none" w:sz="0" w:space="0" w:color="auto" w:frame="1"/>
          <w:lang w:eastAsia="bg-BG"/>
        </w:rPr>
        <w:t xml:space="preserve"> </w:t>
      </w:r>
    </w:p>
    <w:p w14:paraId="2956716F" w14:textId="77777777" w:rsidR="005D5E97" w:rsidRDefault="005D5E97" w:rsidP="005D5E97">
      <w:pPr>
        <w:pStyle w:val="ListParagraph"/>
        <w:spacing w:after="0" w:line="240" w:lineRule="auto"/>
        <w:ind w:left="0"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9"/>
        <w:gridCol w:w="1327"/>
        <w:gridCol w:w="3724"/>
      </w:tblGrid>
      <w:tr w:rsidR="00064CB5" w:rsidRPr="009F0754" w14:paraId="62BA731D" w14:textId="77777777" w:rsidTr="00834D89">
        <w:tc>
          <w:tcPr>
            <w:tcW w:w="4320" w:type="dxa"/>
          </w:tcPr>
          <w:p w14:paraId="744A6951" w14:textId="77777777" w:rsidR="005D5E97" w:rsidRPr="009F0754" w:rsidRDefault="005D5E97" w:rsidP="00834D89">
            <w:pPr>
              <w:spacing w:after="0" w:line="240" w:lineRule="auto"/>
              <w:ind w:left="-104"/>
              <w:jc w:val="both"/>
              <w:rPr>
                <w:rFonts w:ascii="Times New Roman" w:eastAsia="Times New Roman" w:hAnsi="Times New Roman"/>
                <w:bCs/>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Показател за изпълнение</w:t>
            </w:r>
            <w:r w:rsidRPr="009F0754">
              <w:rPr>
                <w:rFonts w:ascii="Times New Roman" w:eastAsia="Times New Roman" w:hAnsi="Times New Roman"/>
                <w:bCs/>
                <w:sz w:val="20"/>
                <w:szCs w:val="20"/>
                <w:bdr w:val="none" w:sz="0" w:space="0" w:color="auto" w:frame="1"/>
                <w:lang w:eastAsia="bg-BG"/>
              </w:rPr>
              <w:t xml:space="preserve"> </w:t>
            </w:r>
            <w:r w:rsidRPr="009F0754">
              <w:rPr>
                <w:rFonts w:ascii="Times New Roman" w:eastAsia="Times New Roman" w:hAnsi="Times New Roman"/>
                <w:bCs/>
                <w:i/>
                <w:sz w:val="20"/>
                <w:szCs w:val="20"/>
                <w:bdr w:val="none" w:sz="0" w:space="0" w:color="auto" w:frame="1"/>
                <w:lang w:eastAsia="bg-BG"/>
              </w:rPr>
              <w:t xml:space="preserve">определен в Приложение </w:t>
            </w:r>
            <w:r w:rsidRPr="009F0754">
              <w:rPr>
                <w:rFonts w:ascii="Times New Roman" w:eastAsia="Times New Roman" w:hAnsi="Times New Roman"/>
                <w:bCs/>
                <w:i/>
                <w:sz w:val="20"/>
                <w:szCs w:val="20"/>
                <w:bdr w:val="none" w:sz="0" w:space="0" w:color="auto" w:frame="1"/>
                <w:lang w:val="en-US" w:eastAsia="bg-BG"/>
              </w:rPr>
              <w:t xml:space="preserve">XIV – </w:t>
            </w:r>
            <w:r w:rsidRPr="009F0754">
              <w:rPr>
                <w:rFonts w:ascii="Times New Roman" w:eastAsia="Times New Roman" w:hAnsi="Times New Roman"/>
                <w:bCs/>
                <w:i/>
                <w:sz w:val="20"/>
                <w:szCs w:val="20"/>
                <w:bdr w:val="none" w:sz="0" w:space="0" w:color="auto" w:frame="1"/>
                <w:lang w:eastAsia="bg-BG"/>
              </w:rPr>
              <w:t>„План за действие“ към НППКАВ</w:t>
            </w:r>
            <w:r w:rsidRPr="009F0754">
              <w:rPr>
                <w:rFonts w:ascii="Times New Roman" w:eastAsia="Times New Roman" w:hAnsi="Times New Roman"/>
                <w:bCs/>
                <w:i/>
                <w:sz w:val="20"/>
                <w:szCs w:val="20"/>
                <w:bdr w:val="none" w:sz="0" w:space="0" w:color="auto" w:frame="1"/>
                <w:lang w:val="en-US" w:eastAsia="bg-BG"/>
              </w:rPr>
              <w:t>:</w:t>
            </w:r>
          </w:p>
        </w:tc>
        <w:tc>
          <w:tcPr>
            <w:tcW w:w="974" w:type="dxa"/>
          </w:tcPr>
          <w:p w14:paraId="65B738E4" w14:textId="77777777" w:rsidR="005D5E97" w:rsidRPr="009F0754" w:rsidRDefault="005D5E97"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Целева стойност</w:t>
            </w:r>
          </w:p>
        </w:tc>
        <w:tc>
          <w:tcPr>
            <w:tcW w:w="3886" w:type="dxa"/>
          </w:tcPr>
          <w:p w14:paraId="410E7565" w14:textId="77777777" w:rsidR="005D5E97" w:rsidRPr="009F0754" w:rsidRDefault="005D5E97"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9F0754">
              <w:rPr>
                <w:rFonts w:ascii="Times New Roman" w:eastAsia="Times New Roman" w:hAnsi="Times New Roman"/>
                <w:bCs/>
                <w:i/>
                <w:sz w:val="20"/>
                <w:szCs w:val="20"/>
                <w:bdr w:val="none" w:sz="0" w:space="0" w:color="auto" w:frame="1"/>
                <w:lang w:eastAsia="bg-BG"/>
              </w:rPr>
              <w:t>2023г.</w:t>
            </w:r>
          </w:p>
        </w:tc>
      </w:tr>
      <w:tr w:rsidR="00064CB5" w:rsidRPr="0092702E" w14:paraId="431E97CA" w14:textId="77777777" w:rsidTr="00834D89">
        <w:tc>
          <w:tcPr>
            <w:tcW w:w="4320" w:type="dxa"/>
          </w:tcPr>
          <w:p w14:paraId="25DF0E0E" w14:textId="3F6FD905" w:rsidR="005D5E97" w:rsidRPr="00723003" w:rsidRDefault="00064CB5"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064CB5">
              <w:rPr>
                <w:rFonts w:ascii="Times New Roman" w:eastAsia="Times New Roman" w:hAnsi="Times New Roman"/>
                <w:bCs/>
                <w:sz w:val="20"/>
                <w:szCs w:val="20"/>
                <w:bdr w:val="none" w:sz="0" w:space="0" w:color="auto" w:frame="1"/>
                <w:lang w:eastAsia="bg-BG"/>
              </w:rPr>
              <w:t>Изготвени доклади за оценка.</w:t>
            </w:r>
          </w:p>
          <w:p w14:paraId="792B05DA" w14:textId="77777777" w:rsidR="005D5E97" w:rsidRPr="009F0754" w:rsidRDefault="005D5E97"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Pr>
                <w:rFonts w:ascii="Times New Roman" w:eastAsia="Times New Roman" w:hAnsi="Times New Roman"/>
                <w:bCs/>
                <w:sz w:val="20"/>
                <w:szCs w:val="20"/>
                <w:bdr w:val="none" w:sz="0" w:space="0" w:color="auto" w:frame="1"/>
                <w:lang w:eastAsia="bg-BG"/>
              </w:rPr>
              <w:t>.</w:t>
            </w:r>
          </w:p>
        </w:tc>
        <w:tc>
          <w:tcPr>
            <w:tcW w:w="974" w:type="dxa"/>
          </w:tcPr>
          <w:p w14:paraId="028C6313" w14:textId="77777777" w:rsidR="005D5E97" w:rsidRPr="009F0754" w:rsidRDefault="005D5E97" w:rsidP="00834D89">
            <w:pPr>
              <w:pStyle w:val="ListParagraph"/>
              <w:spacing w:after="0" w:line="240" w:lineRule="auto"/>
              <w:ind w:left="-108"/>
              <w:jc w:val="center"/>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Неприложимо</w:t>
            </w:r>
          </w:p>
        </w:tc>
        <w:tc>
          <w:tcPr>
            <w:tcW w:w="3886" w:type="dxa"/>
          </w:tcPr>
          <w:p w14:paraId="5EC19283" w14:textId="3A4D3676" w:rsidR="005D5E97" w:rsidRPr="005B3A69" w:rsidRDefault="008700E4" w:rsidP="00834D89">
            <w:pPr>
              <w:pStyle w:val="ListParagraph"/>
              <w:spacing w:after="0" w:line="240" w:lineRule="auto"/>
              <w:ind w:left="-93"/>
              <w:jc w:val="both"/>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И</w:t>
            </w:r>
            <w:r w:rsidR="00064CB5">
              <w:rPr>
                <w:rFonts w:ascii="Times New Roman" w:eastAsia="Times New Roman" w:hAnsi="Times New Roman"/>
                <w:bCs/>
                <w:sz w:val="20"/>
                <w:szCs w:val="20"/>
                <w:bdr w:val="none" w:sz="0" w:space="0" w:color="auto" w:frame="1"/>
                <w:lang w:eastAsia="bg-BG"/>
              </w:rPr>
              <w:t>зготвени анализи</w:t>
            </w:r>
            <w:r w:rsidR="001434EA">
              <w:rPr>
                <w:rFonts w:ascii="Times New Roman" w:eastAsia="Times New Roman" w:hAnsi="Times New Roman"/>
                <w:bCs/>
                <w:sz w:val="20"/>
                <w:szCs w:val="20"/>
                <w:bdr w:val="none" w:sz="0" w:space="0" w:color="auto" w:frame="1"/>
                <w:lang w:eastAsia="bg-BG"/>
              </w:rPr>
              <w:t xml:space="preserve"> за град София</w:t>
            </w:r>
            <w:r w:rsidR="005D5E97">
              <w:rPr>
                <w:rFonts w:ascii="Times New Roman" w:eastAsia="Times New Roman" w:hAnsi="Times New Roman"/>
                <w:bCs/>
                <w:sz w:val="20"/>
                <w:szCs w:val="20"/>
                <w:bdr w:val="none" w:sz="0" w:space="0" w:color="auto" w:frame="1"/>
                <w:lang w:eastAsia="bg-BG"/>
              </w:rPr>
              <w:t>.</w:t>
            </w:r>
            <w:r w:rsidR="001434EA">
              <w:rPr>
                <w:rFonts w:ascii="Times New Roman" w:eastAsia="Times New Roman" w:hAnsi="Times New Roman"/>
                <w:bCs/>
                <w:sz w:val="20"/>
                <w:szCs w:val="20"/>
                <w:bdr w:val="none" w:sz="0" w:space="0" w:color="auto" w:frame="1"/>
                <w:lang w:eastAsia="bg-BG"/>
              </w:rPr>
              <w:t xml:space="preserve"> </w:t>
            </w:r>
            <w:r w:rsidR="0040157C" w:rsidRPr="0040157C">
              <w:rPr>
                <w:rFonts w:ascii="Times New Roman" w:eastAsia="Times New Roman" w:hAnsi="Times New Roman"/>
                <w:bCs/>
                <w:sz w:val="20"/>
                <w:szCs w:val="20"/>
                <w:bdr w:val="none" w:sz="0" w:space="0" w:color="auto" w:frame="1"/>
                <w:lang w:eastAsia="bg-BG"/>
              </w:rPr>
              <w:t>Обхватът на изследването е разширен</w:t>
            </w:r>
            <w:r w:rsidR="0040157C">
              <w:rPr>
                <w:rFonts w:ascii="Times New Roman" w:eastAsia="Times New Roman" w:hAnsi="Times New Roman"/>
                <w:bCs/>
                <w:sz w:val="20"/>
                <w:szCs w:val="20"/>
                <w:bdr w:val="none" w:sz="0" w:space="0" w:color="auto" w:frame="1"/>
                <w:lang w:eastAsia="bg-BG"/>
              </w:rPr>
              <w:t>.</w:t>
            </w:r>
          </w:p>
        </w:tc>
      </w:tr>
    </w:tbl>
    <w:p w14:paraId="07B1F5F4" w14:textId="77777777" w:rsidR="005D5E97" w:rsidRDefault="005D5E97" w:rsidP="005D5E97">
      <w:pPr>
        <w:spacing w:after="0" w:line="240" w:lineRule="auto"/>
        <w:ind w:firstLine="1134"/>
        <w:jc w:val="both"/>
        <w:rPr>
          <w:rFonts w:ascii="Times New Roman" w:eastAsia="Times New Roman" w:hAnsi="Times New Roman"/>
          <w:bCs/>
          <w:sz w:val="24"/>
          <w:szCs w:val="24"/>
          <w:bdr w:val="none" w:sz="0" w:space="0" w:color="auto" w:frame="1"/>
          <w:lang w:eastAsia="bg-BG"/>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170"/>
        <w:gridCol w:w="3780"/>
      </w:tblGrid>
      <w:tr w:rsidR="005D5E97" w:rsidRPr="00B01742" w14:paraId="461E9233" w14:textId="77777777" w:rsidTr="002B204B">
        <w:trPr>
          <w:trHeight w:val="583"/>
        </w:trPr>
        <w:tc>
          <w:tcPr>
            <w:tcW w:w="4230" w:type="dxa"/>
          </w:tcPr>
          <w:p w14:paraId="513555C0" w14:textId="77777777" w:rsidR="005D5E97" w:rsidRPr="00B01742" w:rsidRDefault="005D5E97" w:rsidP="00834D89">
            <w:pPr>
              <w:spacing w:after="0" w:line="240" w:lineRule="auto"/>
              <w:ind w:left="-104"/>
              <w:jc w:val="both"/>
              <w:rPr>
                <w:rFonts w:ascii="Times New Roman" w:eastAsia="Times New Roman" w:hAnsi="Times New Roman"/>
                <w:bCs/>
                <w:sz w:val="20"/>
                <w:szCs w:val="20"/>
                <w:bdr w:val="none" w:sz="0" w:space="0" w:color="auto" w:frame="1"/>
                <w:lang w:eastAsia="bg-BG"/>
              </w:rPr>
            </w:pPr>
            <w:r w:rsidRPr="00B01742">
              <w:rPr>
                <w:rFonts w:ascii="Times New Roman" w:eastAsia="Times New Roman" w:hAnsi="Times New Roman"/>
                <w:bCs/>
                <w:i/>
                <w:sz w:val="20"/>
                <w:szCs w:val="20"/>
                <w:bdr w:val="none" w:sz="0" w:space="0" w:color="auto" w:frame="1"/>
                <w:lang w:eastAsia="bg-BG"/>
              </w:rPr>
              <w:t>Показател за резултат</w:t>
            </w:r>
            <w:r w:rsidRPr="00B01742">
              <w:rPr>
                <w:rFonts w:ascii="Times New Roman" w:eastAsia="Times New Roman" w:hAnsi="Times New Roman"/>
                <w:bCs/>
                <w:sz w:val="20"/>
                <w:szCs w:val="20"/>
                <w:bdr w:val="none" w:sz="0" w:space="0" w:color="auto" w:frame="1"/>
                <w:lang w:eastAsia="bg-BG"/>
              </w:rPr>
              <w:t xml:space="preserve"> </w:t>
            </w:r>
            <w:r w:rsidRPr="00B01742">
              <w:rPr>
                <w:rFonts w:ascii="Times New Roman" w:eastAsia="Times New Roman" w:hAnsi="Times New Roman"/>
                <w:bCs/>
                <w:i/>
                <w:sz w:val="20"/>
                <w:szCs w:val="20"/>
                <w:bdr w:val="none" w:sz="0" w:space="0" w:color="auto" w:frame="1"/>
                <w:lang w:eastAsia="bg-BG"/>
              </w:rPr>
              <w:t xml:space="preserve">определен в Приложение </w:t>
            </w:r>
            <w:r w:rsidRPr="00B01742">
              <w:rPr>
                <w:rFonts w:ascii="Times New Roman" w:eastAsia="Times New Roman" w:hAnsi="Times New Roman"/>
                <w:bCs/>
                <w:i/>
                <w:sz w:val="20"/>
                <w:szCs w:val="20"/>
                <w:bdr w:val="none" w:sz="0" w:space="0" w:color="auto" w:frame="1"/>
                <w:lang w:val="en-US" w:eastAsia="bg-BG"/>
              </w:rPr>
              <w:t xml:space="preserve">XIV – </w:t>
            </w:r>
            <w:r w:rsidRPr="00B01742">
              <w:rPr>
                <w:rFonts w:ascii="Times New Roman" w:eastAsia="Times New Roman" w:hAnsi="Times New Roman"/>
                <w:bCs/>
                <w:i/>
                <w:sz w:val="20"/>
                <w:szCs w:val="20"/>
                <w:bdr w:val="none" w:sz="0" w:space="0" w:color="auto" w:frame="1"/>
                <w:lang w:eastAsia="bg-BG"/>
              </w:rPr>
              <w:t>„План за действие“ към НППКАВ</w:t>
            </w:r>
            <w:r w:rsidRPr="00B01742">
              <w:rPr>
                <w:rFonts w:ascii="Times New Roman" w:eastAsia="Times New Roman" w:hAnsi="Times New Roman"/>
                <w:bCs/>
                <w:i/>
                <w:sz w:val="20"/>
                <w:szCs w:val="20"/>
                <w:bdr w:val="none" w:sz="0" w:space="0" w:color="auto" w:frame="1"/>
                <w:lang w:val="en-US" w:eastAsia="bg-BG"/>
              </w:rPr>
              <w:t>:</w:t>
            </w:r>
          </w:p>
        </w:tc>
        <w:tc>
          <w:tcPr>
            <w:tcW w:w="1170" w:type="dxa"/>
          </w:tcPr>
          <w:p w14:paraId="062784DD" w14:textId="77777777" w:rsidR="005D5E97" w:rsidRDefault="005D5E97"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Pr>
                <w:rFonts w:ascii="Times New Roman" w:eastAsia="Times New Roman" w:hAnsi="Times New Roman"/>
                <w:bCs/>
                <w:i/>
                <w:sz w:val="20"/>
                <w:szCs w:val="20"/>
                <w:bdr w:val="none" w:sz="0" w:space="0" w:color="auto" w:frame="1"/>
                <w:lang w:eastAsia="bg-BG"/>
              </w:rPr>
              <w:t>Целева стойност</w:t>
            </w:r>
          </w:p>
        </w:tc>
        <w:tc>
          <w:tcPr>
            <w:tcW w:w="3780" w:type="dxa"/>
          </w:tcPr>
          <w:p w14:paraId="3520CB28" w14:textId="77777777" w:rsidR="005D5E97" w:rsidRPr="00B01742" w:rsidRDefault="005D5E97" w:rsidP="00834D89">
            <w:pPr>
              <w:pStyle w:val="ListParagraph"/>
              <w:spacing w:after="0" w:line="240" w:lineRule="auto"/>
              <w:ind w:left="-108"/>
              <w:jc w:val="center"/>
              <w:rPr>
                <w:rFonts w:ascii="Times New Roman" w:eastAsia="Times New Roman" w:hAnsi="Times New Roman"/>
                <w:bCs/>
                <w:i/>
                <w:sz w:val="20"/>
                <w:szCs w:val="20"/>
                <w:bdr w:val="none" w:sz="0" w:space="0" w:color="auto" w:frame="1"/>
                <w:lang w:eastAsia="bg-BG"/>
              </w:rPr>
            </w:pPr>
            <w:r w:rsidRPr="00B01742">
              <w:rPr>
                <w:rFonts w:ascii="Times New Roman" w:eastAsia="Times New Roman" w:hAnsi="Times New Roman"/>
                <w:bCs/>
                <w:i/>
                <w:sz w:val="20"/>
                <w:szCs w:val="20"/>
                <w:bdr w:val="none" w:sz="0" w:space="0" w:color="auto" w:frame="1"/>
                <w:lang w:eastAsia="bg-BG"/>
              </w:rPr>
              <w:t>2023г.</w:t>
            </w:r>
          </w:p>
        </w:tc>
      </w:tr>
      <w:tr w:rsidR="005D5E97" w:rsidRPr="0092702E" w14:paraId="683B0FCB" w14:textId="77777777" w:rsidTr="002B204B">
        <w:tc>
          <w:tcPr>
            <w:tcW w:w="4230" w:type="dxa"/>
          </w:tcPr>
          <w:p w14:paraId="1DDB921C" w14:textId="149FC27D" w:rsidR="005D5E97" w:rsidRPr="00B01742" w:rsidRDefault="00064CB5" w:rsidP="00834D89">
            <w:pPr>
              <w:spacing w:after="0" w:line="240" w:lineRule="auto"/>
              <w:ind w:left="-104"/>
              <w:jc w:val="both"/>
              <w:rPr>
                <w:rFonts w:ascii="Times New Roman" w:eastAsia="Times New Roman" w:hAnsi="Times New Roman"/>
                <w:bCs/>
                <w:sz w:val="20"/>
                <w:szCs w:val="20"/>
                <w:bdr w:val="none" w:sz="0" w:space="0" w:color="auto" w:frame="1"/>
                <w:lang w:val="en-US" w:eastAsia="bg-BG"/>
              </w:rPr>
            </w:pPr>
            <w:r w:rsidRPr="00064CB5">
              <w:rPr>
                <w:rFonts w:ascii="Times New Roman" w:eastAsia="Times New Roman" w:hAnsi="Times New Roman"/>
                <w:bCs/>
                <w:sz w:val="20"/>
                <w:szCs w:val="20"/>
                <w:bdr w:val="none" w:sz="0" w:space="0" w:color="auto" w:frame="1"/>
                <w:lang w:eastAsia="bg-BG"/>
              </w:rPr>
              <w:t>Предоставени доклади за здравните рискове</w:t>
            </w:r>
            <w:r w:rsidR="005D5E97">
              <w:rPr>
                <w:rFonts w:ascii="Times New Roman" w:eastAsia="Times New Roman" w:hAnsi="Times New Roman"/>
                <w:bCs/>
                <w:sz w:val="20"/>
                <w:szCs w:val="20"/>
                <w:bdr w:val="none" w:sz="0" w:space="0" w:color="auto" w:frame="1"/>
                <w:lang w:eastAsia="bg-BG"/>
              </w:rPr>
              <w:t>.</w:t>
            </w:r>
          </w:p>
        </w:tc>
        <w:tc>
          <w:tcPr>
            <w:tcW w:w="1170" w:type="dxa"/>
          </w:tcPr>
          <w:p w14:paraId="0B80FF03" w14:textId="77777777" w:rsidR="005D5E97" w:rsidRDefault="005D5E97" w:rsidP="00834D89">
            <w:pPr>
              <w:pStyle w:val="ListParagraph"/>
              <w:spacing w:after="0" w:line="240" w:lineRule="auto"/>
              <w:ind w:left="-108"/>
              <w:jc w:val="center"/>
              <w:rPr>
                <w:rFonts w:ascii="Times New Roman" w:eastAsia="Times New Roman" w:hAnsi="Times New Roman"/>
                <w:bCs/>
                <w:sz w:val="20"/>
                <w:szCs w:val="20"/>
                <w:bdr w:val="none" w:sz="0" w:space="0" w:color="auto" w:frame="1"/>
                <w:lang w:eastAsia="bg-BG"/>
              </w:rPr>
            </w:pPr>
            <w:r>
              <w:rPr>
                <w:rFonts w:ascii="Times New Roman" w:eastAsia="Times New Roman" w:hAnsi="Times New Roman"/>
                <w:bCs/>
                <w:sz w:val="20"/>
                <w:szCs w:val="20"/>
                <w:bdr w:val="none" w:sz="0" w:space="0" w:color="auto" w:frame="1"/>
                <w:lang w:eastAsia="bg-BG"/>
              </w:rPr>
              <w:t>-</w:t>
            </w:r>
          </w:p>
        </w:tc>
        <w:tc>
          <w:tcPr>
            <w:tcW w:w="3780" w:type="dxa"/>
          </w:tcPr>
          <w:p w14:paraId="6EC3CA76" w14:textId="22D49FD4" w:rsidR="005D5E97" w:rsidRPr="00B01742" w:rsidRDefault="005D12DB" w:rsidP="00834D89">
            <w:pPr>
              <w:pStyle w:val="ListParagraph"/>
              <w:spacing w:after="0" w:line="240" w:lineRule="auto"/>
              <w:ind w:left="-108"/>
              <w:jc w:val="both"/>
              <w:rPr>
                <w:rFonts w:ascii="Times New Roman" w:eastAsia="Times New Roman" w:hAnsi="Times New Roman"/>
                <w:bCs/>
                <w:sz w:val="20"/>
                <w:szCs w:val="20"/>
                <w:bdr w:val="none" w:sz="0" w:space="0" w:color="auto" w:frame="1"/>
                <w:lang w:eastAsia="bg-BG"/>
              </w:rPr>
            </w:pPr>
            <w:r w:rsidRPr="005D12DB">
              <w:rPr>
                <w:rFonts w:ascii="Times New Roman" w:eastAsia="Times New Roman" w:hAnsi="Times New Roman"/>
                <w:bCs/>
                <w:sz w:val="20"/>
                <w:szCs w:val="20"/>
                <w:bdr w:val="none" w:sz="0" w:space="0" w:color="auto" w:frame="1"/>
                <w:lang w:eastAsia="bg-BG"/>
              </w:rPr>
              <w:t>Публикувани резултати от изготвените анализи.</w:t>
            </w:r>
          </w:p>
        </w:tc>
      </w:tr>
    </w:tbl>
    <w:p w14:paraId="6D5D49BD" w14:textId="77777777" w:rsidR="005D5E97" w:rsidRPr="00D70824" w:rsidRDefault="005D5E97" w:rsidP="00506F4F">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032368E3" w14:textId="69D1978F" w:rsidR="00A52E6E" w:rsidRPr="00D70824" w:rsidRDefault="002F77F6" w:rsidP="005F6126">
      <w:pPr>
        <w:pStyle w:val="Heading2"/>
        <w:tabs>
          <w:tab w:val="left" w:pos="360"/>
        </w:tabs>
        <w:jc w:val="both"/>
        <w:rPr>
          <w:rFonts w:ascii="Times New Roman" w:hAnsi="Times New Roman"/>
          <w:color w:val="auto"/>
          <w:bdr w:val="none" w:sz="0" w:space="0" w:color="auto" w:frame="1"/>
          <w:lang w:eastAsia="bg-BG"/>
        </w:rPr>
      </w:pPr>
      <w:bookmarkStart w:id="21" w:name="_4._НАПРЕДЪК_ПО"/>
      <w:bookmarkStart w:id="22" w:name="_Toc175822513"/>
      <w:bookmarkEnd w:id="21"/>
      <w:r w:rsidRPr="00D70824">
        <w:rPr>
          <w:rFonts w:ascii="Times New Roman" w:hAnsi="Times New Roman"/>
          <w:color w:val="auto"/>
          <w:bdr w:val="none" w:sz="0" w:space="0" w:color="auto" w:frame="1"/>
          <w:lang w:eastAsia="bg-BG"/>
        </w:rPr>
        <w:t>4.</w:t>
      </w:r>
      <w:r w:rsidR="005F6126">
        <w:rPr>
          <w:rFonts w:ascii="Times New Roman" w:hAnsi="Times New Roman"/>
          <w:color w:val="auto"/>
          <w:bdr w:val="none" w:sz="0" w:space="0" w:color="auto" w:frame="1"/>
          <w:lang w:eastAsia="bg-BG"/>
        </w:rPr>
        <w:tab/>
      </w:r>
      <w:r w:rsidR="00A52E6E" w:rsidRPr="00D70824">
        <w:rPr>
          <w:rFonts w:ascii="Times New Roman" w:hAnsi="Times New Roman"/>
          <w:color w:val="auto"/>
          <w:bdr w:val="none" w:sz="0" w:space="0" w:color="auto" w:frame="1"/>
          <w:lang w:eastAsia="bg-BG"/>
        </w:rPr>
        <w:t>НАПРЕДЪК ПО ИЗПЪЛНЕНИЕТО НА ЦЕЛИТЕ НА ЕВРОПЕЙСКОТО И НА НАЦИОНАЛНОТО ЗАКОНОДАТЕЛСТВО ЗА НАМАЛЯВАНЕ НА ЕМИСИИТЕ ОТ ФИНИ ПРАХОВИ ЧАСТИЦИ</w:t>
      </w:r>
      <w:bookmarkEnd w:id="22"/>
    </w:p>
    <w:p w14:paraId="007B7395" w14:textId="77777777" w:rsidR="00A62745" w:rsidRPr="00252B6B" w:rsidRDefault="00A62745" w:rsidP="00301875">
      <w:pPr>
        <w:spacing w:after="0" w:line="240" w:lineRule="auto"/>
        <w:jc w:val="both"/>
        <w:rPr>
          <w:rFonts w:ascii="Times New Roman" w:eastAsia="Times New Roman" w:hAnsi="Times New Roman"/>
          <w:bCs/>
          <w:sz w:val="24"/>
          <w:szCs w:val="24"/>
          <w:bdr w:val="none" w:sz="0" w:space="0" w:color="auto" w:frame="1"/>
          <w:lang w:eastAsia="bg-BG"/>
        </w:rPr>
      </w:pPr>
    </w:p>
    <w:p w14:paraId="7AADC522" w14:textId="2449C2AA" w:rsidR="009C0A14" w:rsidRDefault="00D34BBA" w:rsidP="00D34BBA">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Запазва се трайната тенденция за</w:t>
      </w:r>
      <w:r w:rsidR="00263E05">
        <w:rPr>
          <w:rFonts w:ascii="Times New Roman" w:eastAsia="Times New Roman" w:hAnsi="Times New Roman"/>
          <w:bCs/>
          <w:sz w:val="24"/>
          <w:szCs w:val="24"/>
          <w:bdr w:val="none" w:sz="0" w:space="0" w:color="auto" w:frame="1"/>
          <w:lang w:eastAsia="bg-BG"/>
        </w:rPr>
        <w:t xml:space="preserve"> подобряване</w:t>
      </w:r>
      <w:r w:rsidR="00DF1431">
        <w:rPr>
          <w:rFonts w:ascii="Times New Roman" w:eastAsia="Times New Roman" w:hAnsi="Times New Roman"/>
          <w:bCs/>
          <w:sz w:val="24"/>
          <w:szCs w:val="24"/>
          <w:bdr w:val="none" w:sz="0" w:space="0" w:color="auto" w:frame="1"/>
          <w:lang w:eastAsia="bg-BG"/>
        </w:rPr>
        <w:t xml:space="preserve"> </w:t>
      </w:r>
      <w:r>
        <w:rPr>
          <w:rFonts w:ascii="Times New Roman" w:eastAsia="Times New Roman" w:hAnsi="Times New Roman"/>
          <w:bCs/>
          <w:sz w:val="24"/>
          <w:szCs w:val="24"/>
          <w:bdr w:val="none" w:sz="0" w:space="0" w:color="auto" w:frame="1"/>
          <w:lang w:eastAsia="bg-BG"/>
        </w:rPr>
        <w:t>качеството на атмосферния въздух по показател ФПЧ</w:t>
      </w:r>
      <w:r w:rsidRPr="009C0A84">
        <w:rPr>
          <w:rFonts w:ascii="Times New Roman" w:eastAsia="Times New Roman" w:hAnsi="Times New Roman"/>
          <w:bCs/>
          <w:sz w:val="24"/>
          <w:szCs w:val="24"/>
          <w:bdr w:val="none" w:sz="0" w:space="0" w:color="auto" w:frame="1"/>
          <w:vertAlign w:val="subscript"/>
          <w:lang w:eastAsia="bg-BG"/>
        </w:rPr>
        <w:t>10</w:t>
      </w:r>
      <w:r>
        <w:rPr>
          <w:rFonts w:ascii="Times New Roman" w:eastAsia="Times New Roman" w:hAnsi="Times New Roman"/>
          <w:bCs/>
          <w:sz w:val="24"/>
          <w:szCs w:val="24"/>
          <w:bdr w:val="none" w:sz="0" w:space="0" w:color="auto" w:frame="1"/>
          <w:lang w:eastAsia="bg-BG"/>
        </w:rPr>
        <w:t xml:space="preserve">. Като причини за това могат да бъдат посочени както изпълнението на мерките подробно разгледани в отчета, така и </w:t>
      </w:r>
      <w:r w:rsidR="00AC28C2">
        <w:rPr>
          <w:rFonts w:ascii="Times New Roman" w:eastAsia="Times New Roman" w:hAnsi="Times New Roman"/>
          <w:bCs/>
          <w:sz w:val="24"/>
          <w:szCs w:val="24"/>
          <w:bdr w:val="none" w:sz="0" w:space="0" w:color="auto" w:frame="1"/>
          <w:lang w:eastAsia="bg-BG"/>
        </w:rPr>
        <w:t xml:space="preserve">личната </w:t>
      </w:r>
      <w:r>
        <w:rPr>
          <w:rFonts w:ascii="Times New Roman" w:eastAsia="Times New Roman" w:hAnsi="Times New Roman"/>
          <w:bCs/>
          <w:sz w:val="24"/>
          <w:szCs w:val="24"/>
          <w:bdr w:val="none" w:sz="0" w:space="0" w:color="auto" w:frame="1"/>
          <w:lang w:eastAsia="bg-BG"/>
        </w:rPr>
        <w:t xml:space="preserve">инициатива на гражданите по промяна на начина на отопление. </w:t>
      </w:r>
      <w:r w:rsidR="00AC28C2">
        <w:rPr>
          <w:rFonts w:ascii="Times New Roman" w:eastAsia="Times New Roman" w:hAnsi="Times New Roman"/>
          <w:bCs/>
          <w:sz w:val="24"/>
          <w:szCs w:val="24"/>
          <w:bdr w:val="none" w:sz="0" w:space="0" w:color="auto" w:frame="1"/>
          <w:lang w:eastAsia="bg-BG"/>
        </w:rPr>
        <w:t>Влияние върху нивата на замърсяване</w:t>
      </w:r>
      <w:r w:rsidR="005F3B68">
        <w:rPr>
          <w:rFonts w:ascii="Times New Roman" w:eastAsia="Times New Roman" w:hAnsi="Times New Roman"/>
          <w:bCs/>
          <w:sz w:val="24"/>
          <w:szCs w:val="24"/>
          <w:bdr w:val="none" w:sz="0" w:space="0" w:color="auto" w:frame="1"/>
          <w:lang w:eastAsia="bg-BG"/>
        </w:rPr>
        <w:t xml:space="preserve"> имат и по-меките климатични условия, които се наблюдават през последните зимни сезони.</w:t>
      </w:r>
    </w:p>
    <w:p w14:paraId="777090A3" w14:textId="0DC0015F" w:rsidR="00B27FA8" w:rsidRDefault="002D34C4" w:rsidP="008E02D1">
      <w:pPr>
        <w:spacing w:after="0" w:line="240" w:lineRule="auto"/>
        <w:ind w:firstLine="1134"/>
        <w:jc w:val="both"/>
        <w:rPr>
          <w:rFonts w:ascii="Times New Roman" w:eastAsia="Times New Roman" w:hAnsi="Times New Roman"/>
          <w:bCs/>
          <w:sz w:val="24"/>
          <w:szCs w:val="24"/>
          <w:bdr w:val="none" w:sz="0" w:space="0" w:color="auto" w:frame="1"/>
          <w:lang w:eastAsia="bg-BG"/>
        </w:rPr>
      </w:pPr>
      <w:r w:rsidRPr="00252B6B">
        <w:rPr>
          <w:rFonts w:ascii="Times New Roman" w:eastAsia="Times New Roman" w:hAnsi="Times New Roman"/>
          <w:bCs/>
          <w:sz w:val="24"/>
          <w:szCs w:val="24"/>
          <w:bdr w:val="none" w:sz="0" w:space="0" w:color="auto" w:frame="1"/>
          <w:lang w:eastAsia="bg-BG"/>
        </w:rPr>
        <w:t xml:space="preserve">Съгласно данните за </w:t>
      </w:r>
      <w:r w:rsidR="0071564D">
        <w:rPr>
          <w:rFonts w:ascii="Times New Roman" w:eastAsia="Times New Roman" w:hAnsi="Times New Roman"/>
          <w:bCs/>
          <w:sz w:val="24"/>
          <w:szCs w:val="24"/>
          <w:bdr w:val="none" w:sz="0" w:space="0" w:color="auto" w:frame="1"/>
          <w:lang w:eastAsia="bg-BG"/>
        </w:rPr>
        <w:t xml:space="preserve">2022 и </w:t>
      </w:r>
      <w:r w:rsidRPr="00252B6B">
        <w:rPr>
          <w:rFonts w:ascii="Times New Roman" w:eastAsia="Times New Roman" w:hAnsi="Times New Roman"/>
          <w:bCs/>
          <w:sz w:val="24"/>
          <w:szCs w:val="24"/>
          <w:bdr w:val="none" w:sz="0" w:space="0" w:color="auto" w:frame="1"/>
          <w:lang w:eastAsia="bg-BG"/>
        </w:rPr>
        <w:t>202</w:t>
      </w:r>
      <w:r w:rsidR="005F3B68">
        <w:rPr>
          <w:rFonts w:ascii="Times New Roman" w:eastAsia="Times New Roman" w:hAnsi="Times New Roman"/>
          <w:bCs/>
          <w:sz w:val="24"/>
          <w:szCs w:val="24"/>
          <w:bdr w:val="none" w:sz="0" w:space="0" w:color="auto" w:frame="1"/>
          <w:lang w:eastAsia="bg-BG"/>
        </w:rPr>
        <w:t>3</w:t>
      </w:r>
      <w:r w:rsidRPr="00252B6B">
        <w:rPr>
          <w:rFonts w:ascii="Times New Roman" w:eastAsia="Times New Roman" w:hAnsi="Times New Roman"/>
          <w:bCs/>
          <w:sz w:val="24"/>
          <w:szCs w:val="24"/>
          <w:bdr w:val="none" w:sz="0" w:space="0" w:color="auto" w:frame="1"/>
          <w:lang w:eastAsia="bg-BG"/>
        </w:rPr>
        <w:t>г.</w:t>
      </w:r>
      <w:r w:rsidR="0090264F">
        <w:rPr>
          <w:rStyle w:val="FootnoteReference"/>
          <w:rFonts w:ascii="Times New Roman" w:eastAsia="Times New Roman" w:hAnsi="Times New Roman"/>
          <w:bCs/>
          <w:sz w:val="24"/>
          <w:szCs w:val="24"/>
          <w:bdr w:val="none" w:sz="0" w:space="0" w:color="auto" w:frame="1"/>
          <w:lang w:eastAsia="bg-BG"/>
        </w:rPr>
        <w:footnoteReference w:id="7"/>
      </w:r>
      <w:r w:rsidRPr="00252B6B">
        <w:rPr>
          <w:rFonts w:ascii="Times New Roman" w:eastAsia="Times New Roman" w:hAnsi="Times New Roman"/>
          <w:bCs/>
          <w:sz w:val="24"/>
          <w:szCs w:val="24"/>
          <w:bdr w:val="none" w:sz="0" w:space="0" w:color="auto" w:frame="1"/>
          <w:lang w:eastAsia="bg-BG"/>
        </w:rPr>
        <w:t xml:space="preserve"> от мониторинга на качеството на атмосферния въздух, тенденцията за постигане на съответствие с нормите за ФПЧ</w:t>
      </w:r>
      <w:r w:rsidRPr="00252B6B">
        <w:rPr>
          <w:rFonts w:ascii="Times New Roman" w:eastAsia="Times New Roman" w:hAnsi="Times New Roman"/>
          <w:bCs/>
          <w:sz w:val="24"/>
          <w:szCs w:val="24"/>
          <w:bdr w:val="none" w:sz="0" w:space="0" w:color="auto" w:frame="1"/>
          <w:vertAlign w:val="subscript"/>
          <w:lang w:eastAsia="bg-BG"/>
        </w:rPr>
        <w:t>10</w:t>
      </w:r>
      <w:r w:rsidRPr="00252B6B">
        <w:rPr>
          <w:rFonts w:ascii="Times New Roman" w:eastAsia="Times New Roman" w:hAnsi="Times New Roman"/>
          <w:bCs/>
          <w:sz w:val="24"/>
          <w:szCs w:val="24"/>
          <w:bdr w:val="none" w:sz="0" w:space="0" w:color="auto" w:frame="1"/>
          <w:lang w:eastAsia="bg-BG"/>
        </w:rPr>
        <w:t xml:space="preserve"> от все повече общини се запазва. </w:t>
      </w:r>
      <w:r w:rsidR="009C191C">
        <w:rPr>
          <w:rFonts w:ascii="Times New Roman" w:eastAsia="Times New Roman" w:hAnsi="Times New Roman"/>
          <w:bCs/>
          <w:sz w:val="24"/>
          <w:szCs w:val="24"/>
          <w:bdr w:val="none" w:sz="0" w:space="0" w:color="auto" w:frame="1"/>
          <w:lang w:eastAsia="bg-BG"/>
        </w:rPr>
        <w:t>В</w:t>
      </w:r>
      <w:r w:rsidRPr="00252B6B">
        <w:rPr>
          <w:rFonts w:ascii="Times New Roman" w:eastAsia="Times New Roman" w:hAnsi="Times New Roman"/>
          <w:bCs/>
          <w:sz w:val="24"/>
          <w:szCs w:val="24"/>
          <w:bdr w:val="none" w:sz="0" w:space="0" w:color="auto" w:frame="1"/>
          <w:lang w:eastAsia="bg-BG"/>
        </w:rPr>
        <w:t>ъв всички пунктове за мониторинг</w:t>
      </w:r>
      <w:r w:rsidR="007E5715" w:rsidRPr="00252B6B">
        <w:rPr>
          <w:rFonts w:ascii="Times New Roman" w:eastAsia="Times New Roman" w:hAnsi="Times New Roman"/>
          <w:bCs/>
          <w:sz w:val="24"/>
          <w:szCs w:val="24"/>
          <w:bdr w:val="none" w:sz="0" w:space="0" w:color="auto" w:frame="1"/>
          <w:lang w:eastAsia="bg-BG"/>
        </w:rPr>
        <w:t xml:space="preserve"> от </w:t>
      </w:r>
      <w:r w:rsidR="00C46458" w:rsidRPr="00252B6B">
        <w:rPr>
          <w:rFonts w:ascii="Times New Roman" w:hAnsi="Times New Roman"/>
          <w:bCs/>
          <w:sz w:val="24"/>
          <w:szCs w:val="24"/>
          <w:bdr w:val="none" w:sz="0" w:space="0" w:color="auto" w:frame="1"/>
          <w:lang w:eastAsia="bg-BG"/>
        </w:rPr>
        <w:t>Националната автоматизирана система за контрол</w:t>
      </w:r>
      <w:r w:rsidR="00C46458" w:rsidRPr="006F0B09">
        <w:rPr>
          <w:rFonts w:ascii="Times New Roman" w:hAnsi="Times New Roman"/>
          <w:bCs/>
          <w:sz w:val="24"/>
          <w:szCs w:val="24"/>
          <w:bdr w:val="none" w:sz="0" w:space="0" w:color="auto" w:frame="1"/>
          <w:lang w:eastAsia="bg-BG"/>
        </w:rPr>
        <w:t xml:space="preserve"> качеството на атмосферния въздух</w:t>
      </w:r>
      <w:r w:rsidR="009C191C">
        <w:rPr>
          <w:rFonts w:ascii="Times New Roman" w:hAnsi="Times New Roman"/>
          <w:bCs/>
          <w:sz w:val="24"/>
          <w:szCs w:val="24"/>
          <w:bdr w:val="none" w:sz="0" w:space="0" w:color="auto" w:frame="1"/>
          <w:lang w:eastAsia="bg-BG"/>
        </w:rPr>
        <w:t xml:space="preserve"> през 202</w:t>
      </w:r>
      <w:r w:rsidR="005F3B68">
        <w:rPr>
          <w:rFonts w:ascii="Times New Roman" w:hAnsi="Times New Roman"/>
          <w:bCs/>
          <w:sz w:val="24"/>
          <w:szCs w:val="24"/>
          <w:bdr w:val="none" w:sz="0" w:space="0" w:color="auto" w:frame="1"/>
          <w:lang w:eastAsia="bg-BG"/>
        </w:rPr>
        <w:t>2</w:t>
      </w:r>
      <w:r w:rsidR="009C191C">
        <w:rPr>
          <w:rFonts w:ascii="Times New Roman" w:hAnsi="Times New Roman"/>
          <w:bCs/>
          <w:sz w:val="24"/>
          <w:szCs w:val="24"/>
          <w:bdr w:val="none" w:sz="0" w:space="0" w:color="auto" w:frame="1"/>
          <w:lang w:eastAsia="bg-BG"/>
        </w:rPr>
        <w:t>г.</w:t>
      </w:r>
      <w:r w:rsidR="005F3B68">
        <w:rPr>
          <w:rFonts w:ascii="Times New Roman" w:hAnsi="Times New Roman"/>
          <w:bCs/>
          <w:sz w:val="24"/>
          <w:szCs w:val="24"/>
          <w:bdr w:val="none" w:sz="0" w:space="0" w:color="auto" w:frame="1"/>
          <w:lang w:eastAsia="bg-BG"/>
        </w:rPr>
        <w:t xml:space="preserve"> и 2023г.</w:t>
      </w:r>
      <w:r w:rsidR="008E02D1">
        <w:rPr>
          <w:rFonts w:ascii="Times New Roman" w:hAnsi="Times New Roman"/>
          <w:bCs/>
          <w:sz w:val="24"/>
          <w:szCs w:val="24"/>
          <w:bdr w:val="none" w:sz="0" w:space="0" w:color="auto" w:frame="1"/>
          <w:lang w:eastAsia="bg-BG"/>
        </w:rPr>
        <w:t xml:space="preserve"> </w:t>
      </w:r>
      <w:r w:rsidR="009C191C">
        <w:rPr>
          <w:rFonts w:ascii="Times New Roman" w:hAnsi="Times New Roman"/>
          <w:bCs/>
          <w:sz w:val="24"/>
          <w:szCs w:val="24"/>
          <w:bdr w:val="none" w:sz="0" w:space="0" w:color="auto" w:frame="1"/>
          <w:lang w:eastAsia="bg-BG"/>
        </w:rPr>
        <w:t>са регистрирани н</w:t>
      </w:r>
      <w:r w:rsidR="00BD6308" w:rsidRPr="00252B6B">
        <w:rPr>
          <w:rFonts w:ascii="Times New Roman" w:eastAsia="Times New Roman" w:hAnsi="Times New Roman"/>
          <w:bCs/>
          <w:sz w:val="24"/>
          <w:szCs w:val="24"/>
          <w:bdr w:val="none" w:sz="0" w:space="0" w:color="auto" w:frame="1"/>
          <w:lang w:eastAsia="bg-BG"/>
        </w:rPr>
        <w:t>ива на замърсяване под определената средногодишна норма за опазване на човешкото здраве за ФПЧ</w:t>
      </w:r>
      <w:r w:rsidR="00BD6308" w:rsidRPr="00252B6B">
        <w:rPr>
          <w:rFonts w:ascii="Times New Roman" w:eastAsia="Times New Roman" w:hAnsi="Times New Roman"/>
          <w:bCs/>
          <w:sz w:val="24"/>
          <w:szCs w:val="24"/>
          <w:bdr w:val="none" w:sz="0" w:space="0" w:color="auto" w:frame="1"/>
          <w:vertAlign w:val="subscript"/>
          <w:lang w:eastAsia="bg-BG"/>
        </w:rPr>
        <w:t>10</w:t>
      </w:r>
      <w:r w:rsidRPr="006F0B09">
        <w:rPr>
          <w:rFonts w:ascii="Times New Roman" w:eastAsia="Times New Roman" w:hAnsi="Times New Roman"/>
          <w:bCs/>
          <w:sz w:val="24"/>
          <w:szCs w:val="24"/>
          <w:bdr w:val="none" w:sz="0" w:space="0" w:color="auto" w:frame="1"/>
          <w:lang w:eastAsia="bg-BG"/>
        </w:rPr>
        <w:t xml:space="preserve">. </w:t>
      </w:r>
      <w:r w:rsidR="00AF5105" w:rsidRPr="006F0B09">
        <w:rPr>
          <w:rFonts w:ascii="Times New Roman" w:eastAsia="Times New Roman" w:hAnsi="Times New Roman"/>
          <w:bCs/>
          <w:sz w:val="24"/>
          <w:szCs w:val="24"/>
          <w:bdr w:val="none" w:sz="0" w:space="0" w:color="auto" w:frame="1"/>
          <w:lang w:eastAsia="bg-BG"/>
        </w:rPr>
        <w:t xml:space="preserve">Нормата е постигната във всички общини в агломерация BG0001 Столична, BG0002 Агломерация Пловдив, </w:t>
      </w:r>
      <w:r w:rsidR="00B94E34">
        <w:rPr>
          <w:rFonts w:ascii="Times New Roman" w:eastAsia="Times New Roman" w:hAnsi="Times New Roman"/>
          <w:bCs/>
          <w:sz w:val="24"/>
          <w:szCs w:val="24"/>
          <w:bdr w:val="none" w:sz="0" w:space="0" w:color="auto" w:frame="1"/>
          <w:lang w:val="en-US" w:eastAsia="bg-BG"/>
        </w:rPr>
        <w:t>BG</w:t>
      </w:r>
      <w:r w:rsidR="00B94E34" w:rsidRPr="00A946F9">
        <w:rPr>
          <w:rFonts w:ascii="Times New Roman" w:eastAsia="Times New Roman" w:hAnsi="Times New Roman"/>
          <w:bCs/>
          <w:sz w:val="24"/>
          <w:szCs w:val="24"/>
          <w:bdr w:val="none" w:sz="0" w:space="0" w:color="auto" w:frame="1"/>
          <w:lang w:val="ru-RU" w:eastAsia="bg-BG"/>
        </w:rPr>
        <w:t xml:space="preserve">0003 </w:t>
      </w:r>
      <w:r w:rsidR="00B94E34">
        <w:rPr>
          <w:rFonts w:ascii="Times New Roman" w:eastAsia="Times New Roman" w:hAnsi="Times New Roman"/>
          <w:bCs/>
          <w:sz w:val="24"/>
          <w:szCs w:val="24"/>
          <w:bdr w:val="none" w:sz="0" w:space="0" w:color="auto" w:frame="1"/>
          <w:lang w:eastAsia="bg-BG"/>
        </w:rPr>
        <w:t>агломерация Варна</w:t>
      </w:r>
      <w:r w:rsidR="00B94E34" w:rsidRPr="00A946F9">
        <w:rPr>
          <w:rFonts w:ascii="Times New Roman" w:eastAsia="Times New Roman" w:hAnsi="Times New Roman"/>
          <w:bCs/>
          <w:sz w:val="24"/>
          <w:szCs w:val="24"/>
          <w:bdr w:val="none" w:sz="0" w:space="0" w:color="auto" w:frame="1"/>
          <w:lang w:val="ru-RU" w:eastAsia="bg-BG"/>
        </w:rPr>
        <w:t>,</w:t>
      </w:r>
      <w:r w:rsidR="00B94E34">
        <w:rPr>
          <w:rFonts w:ascii="Times New Roman" w:eastAsia="Times New Roman" w:hAnsi="Times New Roman"/>
          <w:bCs/>
          <w:sz w:val="24"/>
          <w:szCs w:val="24"/>
          <w:bdr w:val="none" w:sz="0" w:space="0" w:color="auto" w:frame="1"/>
          <w:lang w:eastAsia="bg-BG"/>
        </w:rPr>
        <w:t xml:space="preserve"> </w:t>
      </w:r>
      <w:r w:rsidR="00AF5105" w:rsidRPr="006F0B09">
        <w:rPr>
          <w:rFonts w:ascii="Times New Roman" w:eastAsia="Times New Roman" w:hAnsi="Times New Roman"/>
          <w:bCs/>
          <w:sz w:val="24"/>
          <w:szCs w:val="24"/>
          <w:bdr w:val="none" w:sz="0" w:space="0" w:color="auto" w:frame="1"/>
          <w:lang w:eastAsia="bg-BG"/>
        </w:rPr>
        <w:t>в район Северен /Дунавски BG0004, в район Югозападен BG0005 и район Югоизточен BG0006</w:t>
      </w:r>
      <w:r w:rsidR="00AF5105" w:rsidRPr="00252B6B">
        <w:rPr>
          <w:rFonts w:ascii="Times New Roman" w:eastAsia="Times New Roman" w:hAnsi="Times New Roman"/>
          <w:bCs/>
          <w:sz w:val="24"/>
          <w:szCs w:val="24"/>
          <w:bdr w:val="none" w:sz="0" w:space="0" w:color="auto" w:frame="1"/>
          <w:lang w:eastAsia="bg-BG"/>
        </w:rPr>
        <w:t>.</w:t>
      </w:r>
      <w:r w:rsidR="00B27FA8" w:rsidRPr="00B27FA8">
        <w:rPr>
          <w:rFonts w:ascii="Times New Roman" w:eastAsia="Times New Roman" w:hAnsi="Times New Roman"/>
          <w:bCs/>
          <w:sz w:val="24"/>
          <w:szCs w:val="24"/>
          <w:bdr w:val="none" w:sz="0" w:space="0" w:color="auto" w:frame="1"/>
          <w:lang w:eastAsia="bg-BG"/>
        </w:rPr>
        <w:t xml:space="preserve"> </w:t>
      </w:r>
    </w:p>
    <w:p w14:paraId="3469B95F" w14:textId="77777777" w:rsidR="00B27FA8" w:rsidRDefault="00B27FA8" w:rsidP="002251F4">
      <w:pPr>
        <w:spacing w:after="0" w:line="240" w:lineRule="auto"/>
        <w:jc w:val="both"/>
        <w:rPr>
          <w:rFonts w:ascii="Times New Roman" w:eastAsia="Times New Roman" w:hAnsi="Times New Roman"/>
          <w:bCs/>
          <w:sz w:val="24"/>
          <w:szCs w:val="24"/>
          <w:bdr w:val="none" w:sz="0" w:space="0" w:color="auto" w:frame="1"/>
          <w:lang w:eastAsia="bg-BG"/>
        </w:rPr>
      </w:pPr>
    </w:p>
    <w:p w14:paraId="2589BD16" w14:textId="5841DC92" w:rsidR="00A41C13" w:rsidRDefault="00513B68" w:rsidP="002251F4">
      <w:pPr>
        <w:spacing w:after="0" w:line="240" w:lineRule="auto"/>
        <w:jc w:val="both"/>
        <w:rPr>
          <w:rFonts w:ascii="Times New Roman" w:eastAsia="Times New Roman" w:hAnsi="Times New Roman"/>
          <w:bCs/>
          <w:sz w:val="24"/>
          <w:szCs w:val="24"/>
          <w:bdr w:val="none" w:sz="0" w:space="0" w:color="auto" w:frame="1"/>
          <w:lang w:eastAsia="bg-BG"/>
        </w:rPr>
      </w:pPr>
      <w:r>
        <w:rPr>
          <w:noProof/>
          <w:lang w:eastAsia="bg-BG"/>
        </w:rPr>
        <w:lastRenderedPageBreak/>
        <w:drawing>
          <wp:inline distT="0" distB="0" distL="0" distR="0" wp14:anchorId="71B7B842" wp14:editId="326BC2EC">
            <wp:extent cx="6156252" cy="4391246"/>
            <wp:effectExtent l="0" t="0" r="1651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C6C5FC" w14:textId="0A266E20" w:rsidR="00B74067" w:rsidRDefault="00B74067" w:rsidP="002251F4">
      <w:pPr>
        <w:spacing w:after="0" w:line="240" w:lineRule="auto"/>
        <w:jc w:val="both"/>
        <w:rPr>
          <w:rFonts w:ascii="Times New Roman" w:eastAsia="Times New Roman" w:hAnsi="Times New Roman"/>
          <w:bCs/>
          <w:sz w:val="24"/>
          <w:szCs w:val="24"/>
          <w:bdr w:val="none" w:sz="0" w:space="0" w:color="auto" w:frame="1"/>
          <w:lang w:eastAsia="bg-BG"/>
        </w:rPr>
      </w:pPr>
    </w:p>
    <w:p w14:paraId="34AFCEA9" w14:textId="6CE7EC29" w:rsidR="000E2A49" w:rsidRDefault="001338C0" w:rsidP="001338C0">
      <w:pPr>
        <w:spacing w:after="0" w:line="240" w:lineRule="auto"/>
        <w:jc w:val="center"/>
        <w:rPr>
          <w:rFonts w:ascii="Times New Roman" w:eastAsia="Times New Roman" w:hAnsi="Times New Roman"/>
          <w:b/>
          <w:bCs/>
          <w:i/>
          <w:sz w:val="24"/>
          <w:szCs w:val="24"/>
          <w:bdr w:val="none" w:sz="0" w:space="0" w:color="auto" w:frame="1"/>
          <w:lang w:eastAsia="bg-BG"/>
        </w:rPr>
      </w:pPr>
      <w:r w:rsidRPr="00677312">
        <w:rPr>
          <w:rFonts w:ascii="Times New Roman" w:eastAsia="Times New Roman" w:hAnsi="Times New Roman"/>
          <w:b/>
          <w:bCs/>
          <w:i/>
          <w:sz w:val="24"/>
          <w:szCs w:val="24"/>
          <w:bdr w:val="none" w:sz="0" w:space="0" w:color="auto" w:frame="1"/>
          <w:lang w:eastAsia="bg-BG"/>
        </w:rPr>
        <w:t xml:space="preserve">Фигура </w:t>
      </w:r>
      <w:r>
        <w:rPr>
          <w:rFonts w:ascii="Times New Roman" w:eastAsia="Times New Roman" w:hAnsi="Times New Roman"/>
          <w:b/>
          <w:bCs/>
          <w:i/>
          <w:sz w:val="24"/>
          <w:szCs w:val="24"/>
          <w:bdr w:val="none" w:sz="0" w:space="0" w:color="auto" w:frame="1"/>
          <w:lang w:eastAsia="bg-BG"/>
        </w:rPr>
        <w:t>1</w:t>
      </w:r>
    </w:p>
    <w:p w14:paraId="185BCE5E" w14:textId="1B0BE1D4" w:rsidR="00513B68" w:rsidRDefault="00513B68" w:rsidP="001338C0">
      <w:pPr>
        <w:spacing w:after="0" w:line="240" w:lineRule="auto"/>
        <w:jc w:val="center"/>
        <w:rPr>
          <w:rFonts w:ascii="Times New Roman" w:eastAsia="Times New Roman" w:hAnsi="Times New Roman"/>
          <w:b/>
          <w:bCs/>
          <w:i/>
          <w:sz w:val="24"/>
          <w:szCs w:val="24"/>
          <w:bdr w:val="none" w:sz="0" w:space="0" w:color="auto" w:frame="1"/>
          <w:lang w:eastAsia="bg-BG"/>
        </w:rPr>
      </w:pPr>
    </w:p>
    <w:p w14:paraId="31E337E4" w14:textId="33400947" w:rsidR="00513B68" w:rsidRDefault="00513B68" w:rsidP="001338C0">
      <w:pPr>
        <w:spacing w:after="0" w:line="240" w:lineRule="auto"/>
        <w:jc w:val="center"/>
        <w:rPr>
          <w:rFonts w:ascii="Times New Roman" w:eastAsia="Times New Roman" w:hAnsi="Times New Roman"/>
          <w:b/>
          <w:bCs/>
          <w:i/>
          <w:sz w:val="24"/>
          <w:szCs w:val="24"/>
          <w:bdr w:val="none" w:sz="0" w:space="0" w:color="auto" w:frame="1"/>
          <w:lang w:eastAsia="bg-BG"/>
        </w:rPr>
      </w:pPr>
      <w:r>
        <w:rPr>
          <w:noProof/>
          <w:lang w:eastAsia="bg-BG"/>
        </w:rPr>
        <w:drawing>
          <wp:inline distT="0" distB="0" distL="0" distR="0" wp14:anchorId="3AB0BA51" wp14:editId="35B2FB52">
            <wp:extent cx="6155690" cy="4104168"/>
            <wp:effectExtent l="0" t="0" r="1651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AA3256" w14:textId="77777777" w:rsidR="00B27FA8" w:rsidRPr="00A946F9" w:rsidRDefault="00677312" w:rsidP="00677312">
      <w:pPr>
        <w:spacing w:after="0" w:line="240" w:lineRule="auto"/>
        <w:jc w:val="center"/>
        <w:rPr>
          <w:rFonts w:ascii="Times New Roman" w:hAnsi="Times New Roman"/>
          <w:sz w:val="24"/>
          <w:szCs w:val="24"/>
          <w:lang w:val="ru-RU"/>
        </w:rPr>
      </w:pPr>
      <w:r w:rsidRPr="00677312">
        <w:rPr>
          <w:rFonts w:ascii="Times New Roman" w:hAnsi="Times New Roman"/>
          <w:b/>
          <w:bCs/>
          <w:i/>
          <w:sz w:val="24"/>
          <w:szCs w:val="24"/>
        </w:rPr>
        <w:t xml:space="preserve">Фигура </w:t>
      </w:r>
      <w:r w:rsidR="00B94E34" w:rsidRPr="00A946F9">
        <w:rPr>
          <w:rFonts w:ascii="Times New Roman" w:hAnsi="Times New Roman"/>
          <w:b/>
          <w:bCs/>
          <w:i/>
          <w:sz w:val="24"/>
          <w:szCs w:val="24"/>
          <w:lang w:val="ru-RU"/>
        </w:rPr>
        <w:t>2</w:t>
      </w:r>
    </w:p>
    <w:p w14:paraId="014DCA74" w14:textId="749E7C56" w:rsidR="008E02D1" w:rsidRPr="00252B6B" w:rsidRDefault="006F6A40" w:rsidP="008E02D1">
      <w:pPr>
        <w:spacing w:after="0" w:line="240" w:lineRule="auto"/>
        <w:ind w:firstLine="993"/>
        <w:jc w:val="both"/>
        <w:rPr>
          <w:rFonts w:ascii="Times New Roman" w:eastAsia="Times New Roman" w:hAnsi="Times New Roman"/>
          <w:bCs/>
          <w:sz w:val="24"/>
          <w:szCs w:val="24"/>
          <w:bdr w:val="none" w:sz="0" w:space="0" w:color="auto" w:frame="1"/>
          <w:lang w:eastAsia="bg-BG"/>
        </w:rPr>
      </w:pPr>
      <w:r w:rsidRPr="006F6A40">
        <w:rPr>
          <w:rFonts w:ascii="Times New Roman" w:hAnsi="Times New Roman"/>
          <w:bCs/>
          <w:sz w:val="24"/>
          <w:szCs w:val="24"/>
        </w:rPr>
        <w:lastRenderedPageBreak/>
        <w:t xml:space="preserve">Продължава </w:t>
      </w:r>
      <w:r w:rsidR="00AC28C2">
        <w:rPr>
          <w:rFonts w:ascii="Times New Roman" w:hAnsi="Times New Roman"/>
          <w:bCs/>
          <w:sz w:val="24"/>
          <w:szCs w:val="24"/>
        </w:rPr>
        <w:t xml:space="preserve">регистрирането на </w:t>
      </w:r>
      <w:r w:rsidRPr="006F6A40">
        <w:rPr>
          <w:rFonts w:ascii="Times New Roman" w:hAnsi="Times New Roman"/>
          <w:bCs/>
          <w:sz w:val="24"/>
          <w:szCs w:val="24"/>
        </w:rPr>
        <w:t xml:space="preserve">съществен напредък по отношение увеличаване на броя на общините, в които е постигната и </w:t>
      </w:r>
      <w:proofErr w:type="spellStart"/>
      <w:r w:rsidRPr="006F6A40">
        <w:rPr>
          <w:rFonts w:ascii="Times New Roman" w:hAnsi="Times New Roman"/>
          <w:bCs/>
          <w:sz w:val="24"/>
          <w:szCs w:val="24"/>
        </w:rPr>
        <w:t>средноденонощната</w:t>
      </w:r>
      <w:proofErr w:type="spellEnd"/>
      <w:r w:rsidRPr="006F6A40">
        <w:rPr>
          <w:rFonts w:ascii="Times New Roman" w:hAnsi="Times New Roman"/>
          <w:bCs/>
          <w:sz w:val="24"/>
          <w:szCs w:val="24"/>
        </w:rPr>
        <w:t xml:space="preserve"> норма (СДН).</w:t>
      </w:r>
      <w:r w:rsidR="005E19B0">
        <w:rPr>
          <w:rFonts w:ascii="Times New Roman" w:hAnsi="Times New Roman"/>
          <w:bCs/>
          <w:sz w:val="24"/>
          <w:szCs w:val="24"/>
        </w:rPr>
        <w:t xml:space="preserve"> </w:t>
      </w:r>
      <w:r>
        <w:rPr>
          <w:rFonts w:ascii="Times New Roman" w:eastAsia="Times New Roman" w:hAnsi="Times New Roman"/>
          <w:bCs/>
          <w:sz w:val="24"/>
          <w:szCs w:val="24"/>
          <w:bdr w:val="none" w:sz="0" w:space="0" w:color="auto" w:frame="1"/>
          <w:lang w:eastAsia="bg-BG"/>
        </w:rPr>
        <w:t>К</w:t>
      </w:r>
      <w:r w:rsidR="004E69E8">
        <w:rPr>
          <w:rFonts w:ascii="Times New Roman" w:eastAsia="Times New Roman" w:hAnsi="Times New Roman"/>
          <w:bCs/>
          <w:sz w:val="24"/>
          <w:szCs w:val="24"/>
          <w:bdr w:val="none" w:sz="0" w:space="0" w:color="auto" w:frame="1"/>
          <w:lang w:eastAsia="bg-BG"/>
        </w:rPr>
        <w:t xml:space="preserve">акто се вижда и от </w:t>
      </w:r>
      <w:r w:rsidR="004E69E8" w:rsidRPr="00677312">
        <w:rPr>
          <w:rFonts w:ascii="Times New Roman" w:eastAsia="Times New Roman" w:hAnsi="Times New Roman"/>
          <w:b/>
          <w:bCs/>
          <w:i/>
          <w:sz w:val="24"/>
          <w:szCs w:val="24"/>
          <w:bdr w:val="none" w:sz="0" w:space="0" w:color="auto" w:frame="1"/>
          <w:lang w:eastAsia="bg-BG"/>
        </w:rPr>
        <w:t>Фигура 2</w:t>
      </w:r>
      <w:r w:rsidR="004E69E8">
        <w:rPr>
          <w:rFonts w:ascii="Times New Roman" w:eastAsia="Times New Roman" w:hAnsi="Times New Roman"/>
          <w:bCs/>
          <w:sz w:val="24"/>
          <w:szCs w:val="24"/>
          <w:bdr w:val="none" w:sz="0" w:space="0" w:color="auto" w:frame="1"/>
          <w:lang w:eastAsia="bg-BG"/>
        </w:rPr>
        <w:t xml:space="preserve"> по-горе</w:t>
      </w:r>
      <w:r w:rsidR="008E02D1" w:rsidRPr="00252B6B">
        <w:rPr>
          <w:rFonts w:ascii="Times New Roman" w:eastAsia="Times New Roman" w:hAnsi="Times New Roman"/>
          <w:bCs/>
          <w:sz w:val="24"/>
          <w:szCs w:val="24"/>
          <w:bdr w:val="none" w:sz="0" w:space="0" w:color="auto" w:frame="1"/>
          <w:lang w:eastAsia="bg-BG"/>
        </w:rPr>
        <w:t xml:space="preserve">, </w:t>
      </w:r>
      <w:r w:rsidR="008E02D1" w:rsidRPr="006F0B09">
        <w:rPr>
          <w:rFonts w:ascii="Times New Roman" w:eastAsia="Times New Roman" w:hAnsi="Times New Roman"/>
          <w:bCs/>
          <w:sz w:val="24"/>
          <w:szCs w:val="24"/>
          <w:bdr w:val="none" w:sz="0" w:space="0" w:color="auto" w:frame="1"/>
          <w:lang w:eastAsia="bg-BG"/>
        </w:rPr>
        <w:t>за календарната 202</w:t>
      </w:r>
      <w:r>
        <w:rPr>
          <w:rFonts w:ascii="Times New Roman" w:eastAsia="Times New Roman" w:hAnsi="Times New Roman"/>
          <w:bCs/>
          <w:sz w:val="24"/>
          <w:szCs w:val="24"/>
          <w:bdr w:val="none" w:sz="0" w:space="0" w:color="auto" w:frame="1"/>
          <w:lang w:eastAsia="bg-BG"/>
        </w:rPr>
        <w:t>3</w:t>
      </w:r>
      <w:r w:rsidR="008E02D1" w:rsidRPr="006F0B09">
        <w:rPr>
          <w:rFonts w:ascii="Times New Roman" w:eastAsia="Times New Roman" w:hAnsi="Times New Roman"/>
          <w:bCs/>
          <w:sz w:val="24"/>
          <w:szCs w:val="24"/>
          <w:bdr w:val="none" w:sz="0" w:space="0" w:color="auto" w:frame="1"/>
          <w:lang w:eastAsia="bg-BG"/>
        </w:rPr>
        <w:t xml:space="preserve">г. България не е постигнала пълно </w:t>
      </w:r>
      <w:r w:rsidR="008E02D1" w:rsidRPr="004A223B">
        <w:rPr>
          <w:rFonts w:ascii="Times New Roman" w:eastAsia="Times New Roman" w:hAnsi="Times New Roman"/>
          <w:bCs/>
          <w:sz w:val="24"/>
          <w:szCs w:val="24"/>
          <w:bdr w:val="none" w:sz="0" w:space="0" w:color="auto" w:frame="1"/>
          <w:lang w:eastAsia="bg-BG"/>
        </w:rPr>
        <w:t>съответствие с изискванията на европейското и националното</w:t>
      </w:r>
      <w:r w:rsidR="008E02D1" w:rsidRPr="005F71F4">
        <w:rPr>
          <w:rFonts w:ascii="Times New Roman" w:eastAsia="Times New Roman" w:hAnsi="Times New Roman"/>
          <w:bCs/>
          <w:sz w:val="24"/>
          <w:szCs w:val="24"/>
          <w:bdr w:val="none" w:sz="0" w:space="0" w:color="auto" w:frame="1"/>
          <w:lang w:eastAsia="bg-BG"/>
        </w:rPr>
        <w:t xml:space="preserve"> законодателство по отношение качеството на атмосферния въздух</w:t>
      </w:r>
      <w:r w:rsidR="005E19B0">
        <w:rPr>
          <w:rFonts w:ascii="Times New Roman" w:eastAsia="Times New Roman" w:hAnsi="Times New Roman"/>
          <w:bCs/>
          <w:sz w:val="24"/>
          <w:szCs w:val="24"/>
          <w:bdr w:val="none" w:sz="0" w:space="0" w:color="auto" w:frame="1"/>
          <w:lang w:eastAsia="bg-BG"/>
        </w:rPr>
        <w:t xml:space="preserve"> </w:t>
      </w:r>
      <w:r w:rsidR="005E19B0" w:rsidRPr="002A6180">
        <w:rPr>
          <w:rFonts w:ascii="Times New Roman" w:eastAsia="Times New Roman" w:hAnsi="Times New Roman"/>
          <w:b/>
          <w:bCs/>
          <w:sz w:val="24"/>
          <w:szCs w:val="24"/>
          <w:bdr w:val="none" w:sz="0" w:space="0" w:color="auto" w:frame="1"/>
          <w:lang w:eastAsia="bg-BG"/>
        </w:rPr>
        <w:t>само в един пункт за мониторинг в РОУКАВ „Агломерация Пловдив“</w:t>
      </w:r>
      <w:r w:rsidR="008E02D1" w:rsidRPr="00252B6B">
        <w:rPr>
          <w:rFonts w:ascii="Times New Roman" w:eastAsia="Times New Roman" w:hAnsi="Times New Roman"/>
          <w:bCs/>
          <w:sz w:val="24"/>
          <w:szCs w:val="24"/>
          <w:bdr w:val="none" w:sz="0" w:space="0" w:color="auto" w:frame="1"/>
          <w:lang w:eastAsia="bg-BG"/>
        </w:rPr>
        <w:t>.</w:t>
      </w:r>
    </w:p>
    <w:p w14:paraId="42413812" w14:textId="27780E62" w:rsidR="005A2630" w:rsidRDefault="008E02D1" w:rsidP="00AB26E4">
      <w:pPr>
        <w:pStyle w:val="ListParagraph"/>
        <w:numPr>
          <w:ilvl w:val="0"/>
          <w:numId w:val="2"/>
        </w:numPr>
        <w:spacing w:after="0" w:line="240" w:lineRule="auto"/>
        <w:ind w:left="0" w:firstLine="1170"/>
        <w:jc w:val="both"/>
        <w:rPr>
          <w:rFonts w:ascii="Times New Roman" w:eastAsia="Times New Roman" w:hAnsi="Times New Roman"/>
          <w:bCs/>
          <w:sz w:val="24"/>
          <w:szCs w:val="24"/>
          <w:bdr w:val="none" w:sz="0" w:space="0" w:color="auto" w:frame="1"/>
          <w:lang w:eastAsia="bg-BG"/>
        </w:rPr>
      </w:pPr>
      <w:r w:rsidRPr="00B257A2">
        <w:rPr>
          <w:rFonts w:ascii="Times New Roman" w:eastAsia="Times New Roman" w:hAnsi="Times New Roman"/>
          <w:bCs/>
          <w:sz w:val="24"/>
          <w:szCs w:val="24"/>
          <w:bdr w:val="none" w:sz="0" w:space="0" w:color="auto" w:frame="1"/>
          <w:lang w:eastAsia="bg-BG"/>
        </w:rPr>
        <w:t>Основните сектори</w:t>
      </w:r>
      <w:r w:rsidR="002A6180">
        <w:rPr>
          <w:rFonts w:ascii="Times New Roman" w:eastAsia="Times New Roman" w:hAnsi="Times New Roman"/>
          <w:bCs/>
          <w:sz w:val="24"/>
          <w:szCs w:val="24"/>
          <w:bdr w:val="none" w:sz="0" w:space="0" w:color="auto" w:frame="1"/>
          <w:lang w:eastAsia="bg-BG"/>
        </w:rPr>
        <w:t xml:space="preserve"> (битово отопление, транспорт)</w:t>
      </w:r>
      <w:r w:rsidRPr="00B257A2">
        <w:rPr>
          <w:rFonts w:ascii="Times New Roman" w:eastAsia="Times New Roman" w:hAnsi="Times New Roman"/>
          <w:bCs/>
          <w:sz w:val="24"/>
          <w:szCs w:val="24"/>
          <w:bdr w:val="none" w:sz="0" w:space="0" w:color="auto" w:frame="1"/>
          <w:lang w:eastAsia="bg-BG"/>
        </w:rPr>
        <w:t xml:space="preserve">, чиито емисии на вредни вещества водят до наднормено замърсяване на атмосферния въздух, продължават да имат своя отрицателен принос към замърсяването с фини </w:t>
      </w:r>
      <w:proofErr w:type="spellStart"/>
      <w:r w:rsidRPr="00B257A2">
        <w:rPr>
          <w:rFonts w:ascii="Times New Roman" w:eastAsia="Times New Roman" w:hAnsi="Times New Roman"/>
          <w:bCs/>
          <w:sz w:val="24"/>
          <w:szCs w:val="24"/>
          <w:bdr w:val="none" w:sz="0" w:space="0" w:color="auto" w:frame="1"/>
          <w:lang w:eastAsia="bg-BG"/>
        </w:rPr>
        <w:t>прахови</w:t>
      </w:r>
      <w:proofErr w:type="spellEnd"/>
      <w:r w:rsidRPr="00B257A2">
        <w:rPr>
          <w:rFonts w:ascii="Times New Roman" w:eastAsia="Times New Roman" w:hAnsi="Times New Roman"/>
          <w:bCs/>
          <w:sz w:val="24"/>
          <w:szCs w:val="24"/>
          <w:bdr w:val="none" w:sz="0" w:space="0" w:color="auto" w:frame="1"/>
          <w:lang w:eastAsia="bg-BG"/>
        </w:rPr>
        <w:t xml:space="preserve"> частици</w:t>
      </w:r>
      <w:r w:rsidR="0024164D">
        <w:rPr>
          <w:rFonts w:ascii="Times New Roman" w:eastAsia="Times New Roman" w:hAnsi="Times New Roman"/>
          <w:bCs/>
          <w:sz w:val="24"/>
          <w:szCs w:val="24"/>
          <w:bdr w:val="none" w:sz="0" w:space="0" w:color="auto" w:frame="1"/>
          <w:lang w:eastAsia="bg-BG"/>
        </w:rPr>
        <w:t xml:space="preserve">. </w:t>
      </w:r>
    </w:p>
    <w:p w14:paraId="205C6E41" w14:textId="5D6D04D4" w:rsidR="008E02D1" w:rsidRDefault="0024164D" w:rsidP="00AB26E4">
      <w:pPr>
        <w:pStyle w:val="ListParagraph"/>
        <w:numPr>
          <w:ilvl w:val="0"/>
          <w:numId w:val="2"/>
        </w:numPr>
        <w:spacing w:after="0" w:line="240" w:lineRule="auto"/>
        <w:ind w:left="0" w:firstLine="1170"/>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П</w:t>
      </w:r>
      <w:r w:rsidRPr="0024164D">
        <w:rPr>
          <w:rFonts w:ascii="Times New Roman" w:eastAsia="Times New Roman" w:hAnsi="Times New Roman"/>
          <w:bCs/>
          <w:sz w:val="24"/>
          <w:szCs w:val="24"/>
          <w:bdr w:val="none" w:sz="0" w:space="0" w:color="auto" w:frame="1"/>
          <w:lang w:eastAsia="bg-BG"/>
        </w:rPr>
        <w:t>роблеми</w:t>
      </w:r>
      <w:r>
        <w:rPr>
          <w:rFonts w:ascii="Times New Roman" w:eastAsia="Times New Roman" w:hAnsi="Times New Roman"/>
          <w:bCs/>
          <w:sz w:val="24"/>
          <w:szCs w:val="24"/>
          <w:bdr w:val="none" w:sz="0" w:space="0" w:color="auto" w:frame="1"/>
          <w:lang w:eastAsia="bg-BG"/>
        </w:rPr>
        <w:t xml:space="preserve">те със замърсяването </w:t>
      </w:r>
      <w:r w:rsidRPr="0024164D">
        <w:rPr>
          <w:rFonts w:ascii="Times New Roman" w:eastAsia="Times New Roman" w:hAnsi="Times New Roman"/>
          <w:bCs/>
          <w:sz w:val="24"/>
          <w:szCs w:val="24"/>
          <w:bdr w:val="none" w:sz="0" w:space="0" w:color="auto" w:frame="1"/>
          <w:lang w:eastAsia="bg-BG"/>
        </w:rPr>
        <w:t xml:space="preserve">на въздуха до </w:t>
      </w:r>
      <w:r>
        <w:rPr>
          <w:rFonts w:ascii="Times New Roman" w:eastAsia="Times New Roman" w:hAnsi="Times New Roman"/>
          <w:bCs/>
          <w:sz w:val="24"/>
          <w:szCs w:val="24"/>
          <w:bdr w:val="none" w:sz="0" w:space="0" w:color="auto" w:frame="1"/>
          <w:lang w:eastAsia="bg-BG"/>
        </w:rPr>
        <w:t xml:space="preserve">известна </w:t>
      </w:r>
      <w:r w:rsidRPr="0024164D">
        <w:rPr>
          <w:rFonts w:ascii="Times New Roman" w:eastAsia="Times New Roman" w:hAnsi="Times New Roman"/>
          <w:bCs/>
          <w:sz w:val="24"/>
          <w:szCs w:val="24"/>
          <w:bdr w:val="none" w:sz="0" w:space="0" w:color="auto" w:frame="1"/>
          <w:lang w:eastAsia="bg-BG"/>
        </w:rPr>
        <w:t xml:space="preserve">степен </w:t>
      </w:r>
      <w:r>
        <w:rPr>
          <w:rFonts w:ascii="Times New Roman" w:eastAsia="Times New Roman" w:hAnsi="Times New Roman"/>
          <w:bCs/>
          <w:sz w:val="24"/>
          <w:szCs w:val="24"/>
          <w:bdr w:val="none" w:sz="0" w:space="0" w:color="auto" w:frame="1"/>
          <w:lang w:eastAsia="bg-BG"/>
        </w:rPr>
        <w:t xml:space="preserve">се </w:t>
      </w:r>
      <w:r w:rsidRPr="0024164D">
        <w:rPr>
          <w:rFonts w:ascii="Times New Roman" w:eastAsia="Times New Roman" w:hAnsi="Times New Roman"/>
          <w:bCs/>
          <w:sz w:val="24"/>
          <w:szCs w:val="24"/>
          <w:bdr w:val="none" w:sz="0" w:space="0" w:color="auto" w:frame="1"/>
          <w:lang w:eastAsia="bg-BG"/>
        </w:rPr>
        <w:t>предопределя</w:t>
      </w:r>
      <w:r>
        <w:rPr>
          <w:rFonts w:ascii="Times New Roman" w:eastAsia="Times New Roman" w:hAnsi="Times New Roman"/>
          <w:bCs/>
          <w:sz w:val="24"/>
          <w:szCs w:val="24"/>
          <w:bdr w:val="none" w:sz="0" w:space="0" w:color="auto" w:frame="1"/>
          <w:lang w:eastAsia="bg-BG"/>
        </w:rPr>
        <w:t xml:space="preserve">т </w:t>
      </w:r>
      <w:r w:rsidR="005A2630">
        <w:rPr>
          <w:rFonts w:ascii="Times New Roman" w:eastAsia="Times New Roman" w:hAnsi="Times New Roman"/>
          <w:bCs/>
          <w:sz w:val="24"/>
          <w:szCs w:val="24"/>
          <w:bdr w:val="none" w:sz="0" w:space="0" w:color="auto" w:frame="1"/>
          <w:lang w:eastAsia="bg-BG"/>
        </w:rPr>
        <w:t>също</w:t>
      </w:r>
      <w:r>
        <w:rPr>
          <w:rFonts w:ascii="Times New Roman" w:eastAsia="Times New Roman" w:hAnsi="Times New Roman"/>
          <w:bCs/>
          <w:sz w:val="24"/>
          <w:szCs w:val="24"/>
          <w:bdr w:val="none" w:sz="0" w:space="0" w:color="auto" w:frame="1"/>
          <w:lang w:eastAsia="bg-BG"/>
        </w:rPr>
        <w:t xml:space="preserve"> от </w:t>
      </w:r>
      <w:r w:rsidRPr="0024164D">
        <w:rPr>
          <w:rFonts w:ascii="Times New Roman" w:eastAsia="Times New Roman" w:hAnsi="Times New Roman"/>
          <w:bCs/>
          <w:sz w:val="24"/>
          <w:szCs w:val="24"/>
          <w:bdr w:val="none" w:sz="0" w:space="0" w:color="auto" w:frame="1"/>
          <w:lang w:eastAsia="bg-BG"/>
        </w:rPr>
        <w:t>преобладаващите физико-географски и социално-икономически</w:t>
      </w:r>
      <w:r w:rsidRPr="004961EC">
        <w:rPr>
          <w:rFonts w:ascii="Times New Roman" w:eastAsia="Times New Roman" w:hAnsi="Times New Roman"/>
          <w:bCs/>
          <w:sz w:val="24"/>
          <w:szCs w:val="24"/>
          <w:bdr w:val="none" w:sz="0" w:space="0" w:color="auto" w:frame="1"/>
          <w:lang w:eastAsia="bg-BG"/>
        </w:rPr>
        <w:t xml:space="preserve"> </w:t>
      </w:r>
      <w:r w:rsidRPr="0024164D">
        <w:rPr>
          <w:rFonts w:ascii="Times New Roman" w:eastAsia="Times New Roman" w:hAnsi="Times New Roman"/>
          <w:bCs/>
          <w:sz w:val="24"/>
          <w:szCs w:val="24"/>
          <w:bdr w:val="none" w:sz="0" w:space="0" w:color="auto" w:frame="1"/>
          <w:lang w:eastAsia="bg-BG"/>
        </w:rPr>
        <w:t>условия в страната</w:t>
      </w:r>
      <w:r w:rsidR="008E02D1">
        <w:rPr>
          <w:rFonts w:ascii="Times New Roman" w:eastAsia="Times New Roman" w:hAnsi="Times New Roman"/>
          <w:bCs/>
          <w:sz w:val="24"/>
          <w:szCs w:val="24"/>
          <w:bdr w:val="none" w:sz="0" w:space="0" w:color="auto" w:frame="1"/>
          <w:lang w:eastAsia="bg-BG"/>
        </w:rPr>
        <w:t>;</w:t>
      </w:r>
      <w:r w:rsidR="008E02D1" w:rsidRPr="00B257A2">
        <w:rPr>
          <w:rFonts w:ascii="Times New Roman" w:eastAsia="Times New Roman" w:hAnsi="Times New Roman"/>
          <w:bCs/>
          <w:sz w:val="24"/>
          <w:szCs w:val="24"/>
          <w:bdr w:val="none" w:sz="0" w:space="0" w:color="auto" w:frame="1"/>
          <w:lang w:eastAsia="bg-BG"/>
        </w:rPr>
        <w:t xml:space="preserve"> </w:t>
      </w:r>
    </w:p>
    <w:p w14:paraId="7F3E7518" w14:textId="23E44FEB" w:rsidR="008E02D1" w:rsidRDefault="00AB3405" w:rsidP="0024164D">
      <w:pPr>
        <w:pStyle w:val="ListParagraph"/>
        <w:numPr>
          <w:ilvl w:val="0"/>
          <w:numId w:val="2"/>
        </w:numPr>
        <w:spacing w:after="0" w:line="240" w:lineRule="auto"/>
        <w:ind w:left="0"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Независимо от значително увеличения</w:t>
      </w:r>
      <w:r w:rsidR="00AC28C2">
        <w:rPr>
          <w:rFonts w:ascii="Times New Roman" w:eastAsia="Times New Roman" w:hAnsi="Times New Roman"/>
          <w:bCs/>
          <w:sz w:val="24"/>
          <w:szCs w:val="24"/>
          <w:bdr w:val="none" w:sz="0" w:space="0" w:color="auto" w:frame="1"/>
          <w:lang w:eastAsia="bg-BG"/>
        </w:rPr>
        <w:t>т</w:t>
      </w:r>
      <w:r>
        <w:rPr>
          <w:rFonts w:ascii="Times New Roman" w:eastAsia="Times New Roman" w:hAnsi="Times New Roman"/>
          <w:bCs/>
          <w:sz w:val="24"/>
          <w:szCs w:val="24"/>
          <w:bdr w:val="none" w:sz="0" w:space="0" w:color="auto" w:frame="1"/>
          <w:lang w:eastAsia="bg-BG"/>
        </w:rPr>
        <w:t xml:space="preserve"> дял от домакинствата, които се отопляват с електричество, остава висок процент</w:t>
      </w:r>
      <w:r w:rsidR="00AC28C2">
        <w:rPr>
          <w:rFonts w:ascii="Times New Roman" w:eastAsia="Times New Roman" w:hAnsi="Times New Roman"/>
          <w:bCs/>
          <w:sz w:val="24"/>
          <w:szCs w:val="24"/>
          <w:bdr w:val="none" w:sz="0" w:space="0" w:color="auto" w:frame="1"/>
          <w:lang w:eastAsia="bg-BG"/>
        </w:rPr>
        <w:t>ът</w:t>
      </w:r>
      <w:r>
        <w:rPr>
          <w:rFonts w:ascii="Times New Roman" w:eastAsia="Times New Roman" w:hAnsi="Times New Roman"/>
          <w:bCs/>
          <w:sz w:val="24"/>
          <w:szCs w:val="24"/>
          <w:bdr w:val="none" w:sz="0" w:space="0" w:color="auto" w:frame="1"/>
          <w:lang w:eastAsia="bg-BG"/>
        </w:rPr>
        <w:t xml:space="preserve"> на хората, които използват дървесина за отопление през зимния период</w:t>
      </w:r>
      <w:r w:rsidR="008E02D1">
        <w:rPr>
          <w:rFonts w:ascii="Times New Roman" w:eastAsia="Times New Roman" w:hAnsi="Times New Roman"/>
          <w:bCs/>
          <w:sz w:val="24"/>
          <w:szCs w:val="24"/>
          <w:bdr w:val="none" w:sz="0" w:space="0" w:color="auto" w:frame="1"/>
          <w:lang w:eastAsia="bg-BG"/>
        </w:rPr>
        <w:t>;</w:t>
      </w:r>
    </w:p>
    <w:p w14:paraId="1A1F147E" w14:textId="5870F6F5" w:rsidR="008E02D1" w:rsidRDefault="00AB3405" w:rsidP="008E02D1">
      <w:pPr>
        <w:pStyle w:val="ListParagraph"/>
        <w:numPr>
          <w:ilvl w:val="0"/>
          <w:numId w:val="2"/>
        </w:numPr>
        <w:spacing w:after="0" w:line="240" w:lineRule="auto"/>
        <w:ind w:left="0"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 xml:space="preserve">Негативно </w:t>
      </w:r>
      <w:r w:rsidR="005A2630">
        <w:rPr>
          <w:rFonts w:ascii="Times New Roman" w:eastAsia="Times New Roman" w:hAnsi="Times New Roman"/>
          <w:bCs/>
          <w:sz w:val="24"/>
          <w:szCs w:val="24"/>
          <w:bdr w:val="none" w:sz="0" w:space="0" w:color="auto" w:frame="1"/>
          <w:lang w:eastAsia="bg-BG"/>
        </w:rPr>
        <w:t xml:space="preserve">върху подобряването на качеството на въздуха </w:t>
      </w:r>
      <w:r>
        <w:rPr>
          <w:rFonts w:ascii="Times New Roman" w:eastAsia="Times New Roman" w:hAnsi="Times New Roman"/>
          <w:bCs/>
          <w:sz w:val="24"/>
          <w:szCs w:val="24"/>
          <w:bdr w:val="none" w:sz="0" w:space="0" w:color="auto" w:frame="1"/>
          <w:lang w:eastAsia="bg-BG"/>
        </w:rPr>
        <w:t>се отразяват</w:t>
      </w:r>
      <w:r w:rsidR="008E02D1" w:rsidRPr="00B257A2">
        <w:rPr>
          <w:rFonts w:ascii="Times New Roman" w:eastAsia="Times New Roman" w:hAnsi="Times New Roman"/>
          <w:bCs/>
          <w:sz w:val="24"/>
          <w:szCs w:val="24"/>
          <w:bdr w:val="none" w:sz="0" w:space="0" w:color="auto" w:frame="1"/>
          <w:lang w:eastAsia="bg-BG"/>
        </w:rPr>
        <w:t xml:space="preserve"> покачващите се цени на носителите на енергия и съответно – достъпност</w:t>
      </w:r>
      <w:r w:rsidR="008E02D1">
        <w:rPr>
          <w:rFonts w:ascii="Times New Roman" w:eastAsia="Times New Roman" w:hAnsi="Times New Roman"/>
          <w:bCs/>
          <w:sz w:val="24"/>
          <w:szCs w:val="24"/>
          <w:bdr w:val="none" w:sz="0" w:space="0" w:color="auto" w:frame="1"/>
          <w:lang w:eastAsia="bg-BG"/>
        </w:rPr>
        <w:t>та</w:t>
      </w:r>
      <w:r w:rsidR="008E02D1" w:rsidRPr="00B257A2">
        <w:rPr>
          <w:rFonts w:ascii="Times New Roman" w:eastAsia="Times New Roman" w:hAnsi="Times New Roman"/>
          <w:bCs/>
          <w:sz w:val="24"/>
          <w:szCs w:val="24"/>
          <w:bdr w:val="none" w:sz="0" w:space="0" w:color="auto" w:frame="1"/>
          <w:lang w:eastAsia="bg-BG"/>
        </w:rPr>
        <w:t xml:space="preserve"> </w:t>
      </w:r>
      <w:r w:rsidR="008E02D1">
        <w:rPr>
          <w:rFonts w:ascii="Times New Roman" w:eastAsia="Times New Roman" w:hAnsi="Times New Roman"/>
          <w:bCs/>
          <w:sz w:val="24"/>
          <w:szCs w:val="24"/>
          <w:bdr w:val="none" w:sz="0" w:space="0" w:color="auto" w:frame="1"/>
          <w:lang w:eastAsia="bg-BG"/>
        </w:rPr>
        <w:t xml:space="preserve">им </w:t>
      </w:r>
      <w:r w:rsidR="008E02D1" w:rsidRPr="00B257A2">
        <w:rPr>
          <w:rFonts w:ascii="Times New Roman" w:eastAsia="Times New Roman" w:hAnsi="Times New Roman"/>
          <w:bCs/>
          <w:sz w:val="24"/>
          <w:szCs w:val="24"/>
          <w:bdr w:val="none" w:sz="0" w:space="0" w:color="auto" w:frame="1"/>
          <w:lang w:eastAsia="bg-BG"/>
        </w:rPr>
        <w:t>за населението</w:t>
      </w:r>
      <w:r>
        <w:rPr>
          <w:rFonts w:ascii="Times New Roman" w:eastAsia="Times New Roman" w:hAnsi="Times New Roman"/>
          <w:bCs/>
          <w:sz w:val="24"/>
          <w:szCs w:val="24"/>
          <w:bdr w:val="none" w:sz="0" w:space="0" w:color="auto" w:frame="1"/>
          <w:lang w:eastAsia="bg-BG"/>
        </w:rPr>
        <w:t>.</w:t>
      </w:r>
    </w:p>
    <w:p w14:paraId="2B8B7737" w14:textId="77777777" w:rsidR="005A2630" w:rsidRPr="00B257A2" w:rsidRDefault="005A2630" w:rsidP="00860FBF">
      <w:pPr>
        <w:pStyle w:val="ListParagraph"/>
        <w:spacing w:after="0" w:line="240" w:lineRule="auto"/>
        <w:ind w:left="1134"/>
        <w:jc w:val="both"/>
        <w:rPr>
          <w:rFonts w:ascii="Times New Roman" w:eastAsia="Times New Roman" w:hAnsi="Times New Roman"/>
          <w:bCs/>
          <w:sz w:val="24"/>
          <w:szCs w:val="24"/>
          <w:bdr w:val="none" w:sz="0" w:space="0" w:color="auto" w:frame="1"/>
          <w:lang w:eastAsia="bg-BG"/>
        </w:rPr>
      </w:pPr>
    </w:p>
    <w:p w14:paraId="0DBC2C6F" w14:textId="7FEF9813" w:rsidR="002D0645" w:rsidRDefault="002D0645" w:rsidP="002D0645">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 xml:space="preserve">Важно е да бъде отбелязан процесът по преразглеждане на европейското законодателство в областта на качеството на атмосферния въздух. </w:t>
      </w:r>
      <w:r w:rsidRPr="002D0645">
        <w:rPr>
          <w:rFonts w:ascii="Times New Roman" w:eastAsia="Times New Roman" w:hAnsi="Times New Roman"/>
          <w:bCs/>
          <w:sz w:val="24"/>
          <w:szCs w:val="24"/>
          <w:bdr w:val="none" w:sz="0" w:space="0" w:color="auto" w:frame="1"/>
          <w:lang w:eastAsia="bg-BG"/>
        </w:rPr>
        <w:t xml:space="preserve">През декември 2019г. в контекста на Европейската зелена сделка, Европейската комисия се ангажира </w:t>
      </w:r>
      <w:r w:rsidR="005A2630">
        <w:rPr>
          <w:rFonts w:ascii="Times New Roman" w:eastAsia="Times New Roman" w:hAnsi="Times New Roman"/>
          <w:bCs/>
          <w:sz w:val="24"/>
          <w:szCs w:val="24"/>
          <w:bdr w:val="none" w:sz="0" w:space="0" w:color="auto" w:frame="1"/>
          <w:lang w:eastAsia="bg-BG"/>
        </w:rPr>
        <w:t xml:space="preserve">да предприеме действия за </w:t>
      </w:r>
      <w:r w:rsidRPr="002D0645">
        <w:rPr>
          <w:rFonts w:ascii="Times New Roman" w:eastAsia="Times New Roman" w:hAnsi="Times New Roman"/>
          <w:bCs/>
          <w:sz w:val="24"/>
          <w:szCs w:val="24"/>
          <w:bdr w:val="none" w:sz="0" w:space="0" w:color="auto" w:frame="1"/>
          <w:lang w:eastAsia="bg-BG"/>
        </w:rPr>
        <w:t>допълнително подобр</w:t>
      </w:r>
      <w:r w:rsidR="005A2630">
        <w:rPr>
          <w:rFonts w:ascii="Times New Roman" w:eastAsia="Times New Roman" w:hAnsi="Times New Roman"/>
          <w:bCs/>
          <w:sz w:val="24"/>
          <w:szCs w:val="24"/>
          <w:bdr w:val="none" w:sz="0" w:space="0" w:color="auto" w:frame="1"/>
          <w:lang w:eastAsia="bg-BG"/>
        </w:rPr>
        <w:t>яване на</w:t>
      </w:r>
      <w:r w:rsidRPr="002D0645">
        <w:rPr>
          <w:rFonts w:ascii="Times New Roman" w:eastAsia="Times New Roman" w:hAnsi="Times New Roman"/>
          <w:bCs/>
          <w:sz w:val="24"/>
          <w:szCs w:val="24"/>
          <w:bdr w:val="none" w:sz="0" w:space="0" w:color="auto" w:frame="1"/>
          <w:lang w:eastAsia="bg-BG"/>
        </w:rPr>
        <w:t xml:space="preserve"> качеството на въздуха и да приведе в по-голяма степен стандартите на ЕС за качество на въздуха в съответствие с препоръките на Световната здравна организация (СЗО).</w:t>
      </w:r>
      <w:r>
        <w:rPr>
          <w:rFonts w:ascii="Times New Roman" w:eastAsia="Times New Roman" w:hAnsi="Times New Roman"/>
          <w:bCs/>
          <w:sz w:val="24"/>
          <w:szCs w:val="24"/>
          <w:bdr w:val="none" w:sz="0" w:space="0" w:color="auto" w:frame="1"/>
          <w:lang w:eastAsia="bg-BG"/>
        </w:rPr>
        <w:t xml:space="preserve"> Н</w:t>
      </w:r>
      <w:r w:rsidRPr="002D0645">
        <w:rPr>
          <w:rFonts w:ascii="Times New Roman" w:eastAsia="Times New Roman" w:hAnsi="Times New Roman"/>
          <w:bCs/>
          <w:sz w:val="24"/>
          <w:szCs w:val="24"/>
          <w:bdr w:val="none" w:sz="0" w:space="0" w:color="auto" w:frame="1"/>
          <w:lang w:eastAsia="bg-BG"/>
        </w:rPr>
        <w:t xml:space="preserve">а 26 октомври 2022г. </w:t>
      </w:r>
      <w:r>
        <w:rPr>
          <w:rFonts w:ascii="Times New Roman" w:eastAsia="Times New Roman" w:hAnsi="Times New Roman"/>
          <w:bCs/>
          <w:sz w:val="24"/>
          <w:szCs w:val="24"/>
          <w:bdr w:val="none" w:sz="0" w:space="0" w:color="auto" w:frame="1"/>
          <w:lang w:eastAsia="bg-BG"/>
        </w:rPr>
        <w:t xml:space="preserve">ЕК представи </w:t>
      </w:r>
      <w:r w:rsidRPr="002D0645">
        <w:rPr>
          <w:rFonts w:ascii="Times New Roman" w:eastAsia="Times New Roman" w:hAnsi="Times New Roman"/>
          <w:bCs/>
          <w:sz w:val="24"/>
          <w:szCs w:val="24"/>
          <w:bdr w:val="none" w:sz="0" w:space="0" w:color="auto" w:frame="1"/>
          <w:lang w:eastAsia="bg-BG"/>
        </w:rPr>
        <w:t>предложението си</w:t>
      </w:r>
      <w:r w:rsidR="006D2A97">
        <w:rPr>
          <w:rStyle w:val="FootnoteReference"/>
          <w:rFonts w:ascii="Times New Roman" w:eastAsia="Times New Roman" w:hAnsi="Times New Roman"/>
          <w:bCs/>
          <w:sz w:val="24"/>
          <w:szCs w:val="24"/>
          <w:bdr w:val="none" w:sz="0" w:space="0" w:color="auto" w:frame="1"/>
          <w:lang w:eastAsia="bg-BG"/>
        </w:rPr>
        <w:footnoteReference w:id="8"/>
      </w:r>
      <w:r w:rsidRPr="002D0645">
        <w:rPr>
          <w:rFonts w:ascii="Times New Roman" w:eastAsia="Times New Roman" w:hAnsi="Times New Roman"/>
          <w:bCs/>
          <w:sz w:val="24"/>
          <w:szCs w:val="24"/>
          <w:bdr w:val="none" w:sz="0" w:space="0" w:color="auto" w:frame="1"/>
          <w:lang w:eastAsia="bg-BG"/>
        </w:rPr>
        <w:t>, с което цели преработка</w:t>
      </w:r>
      <w:r>
        <w:rPr>
          <w:rFonts w:ascii="Times New Roman" w:eastAsia="Times New Roman" w:hAnsi="Times New Roman"/>
          <w:bCs/>
          <w:sz w:val="24"/>
          <w:szCs w:val="24"/>
          <w:bdr w:val="none" w:sz="0" w:space="0" w:color="auto" w:frame="1"/>
          <w:lang w:eastAsia="bg-BG"/>
        </w:rPr>
        <w:t xml:space="preserve"> и обединяване на съществуващите директиви</w:t>
      </w:r>
      <w:r w:rsidRPr="002D0645">
        <w:rPr>
          <w:rFonts w:ascii="Times New Roman" w:eastAsia="Times New Roman" w:hAnsi="Times New Roman"/>
          <w:bCs/>
          <w:sz w:val="24"/>
          <w:szCs w:val="24"/>
          <w:bdr w:val="none" w:sz="0" w:space="0" w:color="auto" w:frame="1"/>
          <w:lang w:eastAsia="bg-BG"/>
        </w:rPr>
        <w:t>, определяне на стандарти за качество на въздуха за 2030г. и след това, както и за разработване на перспективи за привеждане в съответствие с насоките/препоръките на СЗО от 2021г.</w:t>
      </w:r>
      <w:r w:rsidR="004D2F91">
        <w:rPr>
          <w:rFonts w:ascii="Times New Roman" w:eastAsia="Times New Roman" w:hAnsi="Times New Roman"/>
          <w:bCs/>
          <w:sz w:val="24"/>
          <w:szCs w:val="24"/>
          <w:bdr w:val="none" w:sz="0" w:space="0" w:color="auto" w:frame="1"/>
          <w:lang w:eastAsia="bg-BG"/>
        </w:rPr>
        <w:t xml:space="preserve"> </w:t>
      </w:r>
      <w:r w:rsidR="005A2630">
        <w:rPr>
          <w:rFonts w:ascii="Times New Roman" w:eastAsia="Times New Roman" w:hAnsi="Times New Roman"/>
          <w:bCs/>
          <w:sz w:val="24"/>
          <w:szCs w:val="24"/>
          <w:bdr w:val="none" w:sz="0" w:space="0" w:color="auto" w:frame="1"/>
          <w:lang w:eastAsia="bg-BG"/>
        </w:rPr>
        <w:t>С</w:t>
      </w:r>
      <w:r w:rsidR="004D2F91">
        <w:rPr>
          <w:rFonts w:ascii="Times New Roman" w:eastAsia="Times New Roman" w:hAnsi="Times New Roman"/>
          <w:bCs/>
          <w:sz w:val="24"/>
          <w:szCs w:val="24"/>
          <w:bdr w:val="none" w:sz="0" w:space="0" w:color="auto" w:frame="1"/>
          <w:lang w:eastAsia="bg-BG"/>
        </w:rPr>
        <w:t xml:space="preserve">ледва да се подчертае, че новите изисквания </w:t>
      </w:r>
      <w:r w:rsidR="005A2630">
        <w:rPr>
          <w:rFonts w:ascii="Times New Roman" w:eastAsia="Times New Roman" w:hAnsi="Times New Roman"/>
          <w:bCs/>
          <w:sz w:val="24"/>
          <w:szCs w:val="24"/>
          <w:bdr w:val="none" w:sz="0" w:space="0" w:color="auto" w:frame="1"/>
          <w:lang w:eastAsia="bg-BG"/>
        </w:rPr>
        <w:t xml:space="preserve">конкретно </w:t>
      </w:r>
      <w:r w:rsidR="004D2F91">
        <w:rPr>
          <w:rFonts w:ascii="Times New Roman" w:eastAsia="Times New Roman" w:hAnsi="Times New Roman"/>
          <w:bCs/>
          <w:sz w:val="24"/>
          <w:szCs w:val="24"/>
          <w:bdr w:val="none" w:sz="0" w:space="0" w:color="auto" w:frame="1"/>
          <w:lang w:eastAsia="bg-BG"/>
        </w:rPr>
        <w:t>за замърсител</w:t>
      </w:r>
      <w:r w:rsidR="005A2630">
        <w:rPr>
          <w:rFonts w:ascii="Times New Roman" w:eastAsia="Times New Roman" w:hAnsi="Times New Roman"/>
          <w:bCs/>
          <w:sz w:val="24"/>
          <w:szCs w:val="24"/>
          <w:bdr w:val="none" w:sz="0" w:space="0" w:color="auto" w:frame="1"/>
          <w:lang w:eastAsia="bg-BG"/>
        </w:rPr>
        <w:t>я</w:t>
      </w:r>
      <w:r w:rsidR="004D2F91">
        <w:rPr>
          <w:rFonts w:ascii="Times New Roman" w:eastAsia="Times New Roman" w:hAnsi="Times New Roman"/>
          <w:bCs/>
          <w:sz w:val="24"/>
          <w:szCs w:val="24"/>
          <w:bdr w:val="none" w:sz="0" w:space="0" w:color="auto" w:frame="1"/>
          <w:lang w:eastAsia="bg-BG"/>
        </w:rPr>
        <w:t xml:space="preserve"> фини </w:t>
      </w:r>
      <w:proofErr w:type="spellStart"/>
      <w:r w:rsidR="004D2F91">
        <w:rPr>
          <w:rFonts w:ascii="Times New Roman" w:eastAsia="Times New Roman" w:hAnsi="Times New Roman"/>
          <w:bCs/>
          <w:sz w:val="24"/>
          <w:szCs w:val="24"/>
          <w:bdr w:val="none" w:sz="0" w:space="0" w:color="auto" w:frame="1"/>
          <w:lang w:eastAsia="bg-BG"/>
        </w:rPr>
        <w:t>прахови</w:t>
      </w:r>
      <w:proofErr w:type="spellEnd"/>
      <w:r w:rsidR="004D2F91">
        <w:rPr>
          <w:rFonts w:ascii="Times New Roman" w:eastAsia="Times New Roman" w:hAnsi="Times New Roman"/>
          <w:bCs/>
          <w:sz w:val="24"/>
          <w:szCs w:val="24"/>
          <w:bdr w:val="none" w:sz="0" w:space="0" w:color="auto" w:frame="1"/>
          <w:lang w:eastAsia="bg-BG"/>
        </w:rPr>
        <w:t xml:space="preserve"> частици, ще представляват сериозно предизвикателство за постигане.</w:t>
      </w:r>
    </w:p>
    <w:p w14:paraId="25AA1D18" w14:textId="77777777" w:rsidR="00EC32E5" w:rsidRPr="002D0645" w:rsidRDefault="00EC32E5" w:rsidP="002D0645">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416A483F" w14:textId="1B29EE92" w:rsidR="00EC32E5" w:rsidRPr="000B4E71" w:rsidRDefault="00EC32E5" w:rsidP="000B4E71">
      <w:pPr>
        <w:pStyle w:val="Heading2"/>
        <w:tabs>
          <w:tab w:val="left" w:pos="360"/>
        </w:tabs>
        <w:rPr>
          <w:rFonts w:ascii="Times New Roman" w:hAnsi="Times New Roman"/>
          <w:bCs/>
          <w:bdr w:val="none" w:sz="0" w:space="0" w:color="auto" w:frame="1"/>
          <w:lang w:eastAsia="bg-BG"/>
        </w:rPr>
      </w:pPr>
      <w:bookmarkStart w:id="23" w:name="_Toc175822514"/>
      <w:r w:rsidRPr="000B4E71">
        <w:rPr>
          <w:rFonts w:ascii="Times New Roman" w:hAnsi="Times New Roman"/>
          <w:color w:val="auto"/>
          <w:bdr w:val="none" w:sz="0" w:space="0" w:color="auto" w:frame="1"/>
          <w:lang w:eastAsia="bg-BG"/>
        </w:rPr>
        <w:t>5.</w:t>
      </w:r>
      <w:r w:rsidR="00B845C8">
        <w:rPr>
          <w:rFonts w:ascii="Times New Roman" w:hAnsi="Times New Roman"/>
          <w:color w:val="auto"/>
          <w:bdr w:val="none" w:sz="0" w:space="0" w:color="auto" w:frame="1"/>
          <w:lang w:eastAsia="bg-BG"/>
        </w:rPr>
        <w:tab/>
      </w:r>
      <w:r w:rsidRPr="000B4E71">
        <w:rPr>
          <w:rFonts w:ascii="Times New Roman" w:hAnsi="Times New Roman"/>
          <w:color w:val="auto"/>
          <w:bdr w:val="none" w:sz="0" w:space="0" w:color="auto" w:frame="1"/>
          <w:lang w:eastAsia="bg-BG"/>
        </w:rPr>
        <w:t>ИЗВОДИ И ПРЕПОРЪКИ</w:t>
      </w:r>
      <w:bookmarkEnd w:id="23"/>
    </w:p>
    <w:p w14:paraId="25C603A8" w14:textId="336049DD" w:rsidR="00EC32E5" w:rsidRPr="009D546C" w:rsidRDefault="009008A1" w:rsidP="002D0645">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Видно от представената информация в настоящия отчет, п</w:t>
      </w:r>
      <w:r w:rsidR="00EC32E5">
        <w:rPr>
          <w:rFonts w:ascii="Times New Roman" w:eastAsia="Times New Roman" w:hAnsi="Times New Roman"/>
          <w:bCs/>
          <w:sz w:val="24"/>
          <w:szCs w:val="24"/>
          <w:bdr w:val="none" w:sz="0" w:space="0" w:color="auto" w:frame="1"/>
          <w:lang w:eastAsia="bg-BG"/>
        </w:rPr>
        <w:t>рез 2023 година има напредък и</w:t>
      </w:r>
      <w:r>
        <w:rPr>
          <w:rFonts w:ascii="Times New Roman" w:eastAsia="Times New Roman" w:hAnsi="Times New Roman"/>
          <w:bCs/>
          <w:sz w:val="24"/>
          <w:szCs w:val="24"/>
          <w:bdr w:val="none" w:sz="0" w:space="0" w:color="auto" w:frame="1"/>
          <w:lang w:eastAsia="bg-BG"/>
        </w:rPr>
        <w:t xml:space="preserve"> са</w:t>
      </w:r>
      <w:r w:rsidR="00EC32E5">
        <w:rPr>
          <w:rFonts w:ascii="Times New Roman" w:eastAsia="Times New Roman" w:hAnsi="Times New Roman"/>
          <w:bCs/>
          <w:sz w:val="24"/>
          <w:szCs w:val="24"/>
          <w:bdr w:val="none" w:sz="0" w:space="0" w:color="auto" w:frame="1"/>
          <w:lang w:eastAsia="bg-BG"/>
        </w:rPr>
        <w:t xml:space="preserve"> изпълн</w:t>
      </w:r>
      <w:r>
        <w:rPr>
          <w:rFonts w:ascii="Times New Roman" w:eastAsia="Times New Roman" w:hAnsi="Times New Roman"/>
          <w:bCs/>
          <w:sz w:val="24"/>
          <w:szCs w:val="24"/>
          <w:bdr w:val="none" w:sz="0" w:space="0" w:color="auto" w:frame="1"/>
          <w:lang w:eastAsia="bg-BG"/>
        </w:rPr>
        <w:t>явани</w:t>
      </w:r>
      <w:r w:rsidR="00EC32E5">
        <w:rPr>
          <w:rFonts w:ascii="Times New Roman" w:eastAsia="Times New Roman" w:hAnsi="Times New Roman"/>
          <w:bCs/>
          <w:sz w:val="24"/>
          <w:szCs w:val="24"/>
          <w:bdr w:val="none" w:sz="0" w:space="0" w:color="auto" w:frame="1"/>
          <w:lang w:eastAsia="bg-BG"/>
        </w:rPr>
        <w:t xml:space="preserve"> дейности по </w:t>
      </w:r>
      <w:r w:rsidR="008E688B">
        <w:rPr>
          <w:rFonts w:ascii="Times New Roman" w:eastAsia="Times New Roman" w:hAnsi="Times New Roman"/>
          <w:bCs/>
          <w:sz w:val="24"/>
          <w:szCs w:val="24"/>
          <w:bdr w:val="none" w:sz="0" w:space="0" w:color="auto" w:frame="1"/>
          <w:lang w:eastAsia="bg-BG"/>
        </w:rPr>
        <w:t xml:space="preserve">голяма част от </w:t>
      </w:r>
      <w:r w:rsidR="00EC32E5">
        <w:rPr>
          <w:rFonts w:ascii="Times New Roman" w:eastAsia="Times New Roman" w:hAnsi="Times New Roman"/>
          <w:bCs/>
          <w:sz w:val="24"/>
          <w:szCs w:val="24"/>
          <w:bdr w:val="none" w:sz="0" w:space="0" w:color="auto" w:frame="1"/>
          <w:lang w:eastAsia="bg-BG"/>
        </w:rPr>
        <w:t xml:space="preserve">мерките, предвидени в НППКАВ 2018-2024г. </w:t>
      </w:r>
      <w:r w:rsidR="008E688B">
        <w:rPr>
          <w:rFonts w:ascii="Times New Roman" w:eastAsia="Times New Roman" w:hAnsi="Times New Roman"/>
          <w:bCs/>
          <w:sz w:val="24"/>
          <w:szCs w:val="24"/>
          <w:bdr w:val="none" w:sz="0" w:space="0" w:color="auto" w:frame="1"/>
          <w:lang w:eastAsia="bg-BG"/>
        </w:rPr>
        <w:t xml:space="preserve">От голямо значение по отношение на индикатора за резултат </w:t>
      </w:r>
      <w:r w:rsidR="008E688B">
        <w:rPr>
          <w:rFonts w:ascii="Times New Roman" w:eastAsia="Times New Roman" w:hAnsi="Times New Roman"/>
          <w:bCs/>
          <w:i/>
          <w:sz w:val="24"/>
          <w:szCs w:val="24"/>
          <w:bdr w:val="none" w:sz="0" w:space="0" w:color="auto" w:frame="1"/>
          <w:lang w:eastAsia="bg-BG"/>
        </w:rPr>
        <w:t xml:space="preserve">Намалени емисии на ФПЧ от битовото отопление </w:t>
      </w:r>
      <w:r w:rsidR="008E688B">
        <w:rPr>
          <w:rFonts w:ascii="Times New Roman" w:eastAsia="Times New Roman" w:hAnsi="Times New Roman"/>
          <w:bCs/>
          <w:sz w:val="24"/>
          <w:szCs w:val="24"/>
          <w:bdr w:val="none" w:sz="0" w:space="0" w:color="auto" w:frame="1"/>
          <w:lang w:eastAsia="bg-BG"/>
        </w:rPr>
        <w:t xml:space="preserve">е изпълнението на дейностите по подмяна на битовите отоплителни уреди. </w:t>
      </w:r>
      <w:r w:rsidR="009D546C">
        <w:rPr>
          <w:rFonts w:ascii="Times New Roman" w:eastAsia="Times New Roman" w:hAnsi="Times New Roman"/>
          <w:bCs/>
          <w:sz w:val="24"/>
          <w:szCs w:val="24"/>
          <w:bdr w:val="none" w:sz="0" w:space="0" w:color="auto" w:frame="1"/>
          <w:lang w:eastAsia="bg-BG"/>
        </w:rPr>
        <w:t>По отношение на</w:t>
      </w:r>
      <w:r w:rsidR="003A5A71">
        <w:rPr>
          <w:rFonts w:ascii="Times New Roman" w:eastAsia="Times New Roman" w:hAnsi="Times New Roman"/>
          <w:bCs/>
          <w:sz w:val="24"/>
          <w:szCs w:val="24"/>
          <w:bdr w:val="none" w:sz="0" w:space="0" w:color="auto" w:frame="1"/>
          <w:lang w:eastAsia="bg-BG"/>
        </w:rPr>
        <w:t xml:space="preserve"> целевата стойност на показателя за изпълнение </w:t>
      </w:r>
      <w:r w:rsidR="003A5A71" w:rsidRPr="003A5A71">
        <w:rPr>
          <w:rFonts w:ascii="Times New Roman" w:eastAsia="Times New Roman" w:hAnsi="Times New Roman"/>
          <w:bCs/>
          <w:i/>
          <w:sz w:val="24"/>
          <w:szCs w:val="24"/>
          <w:bdr w:val="none" w:sz="0" w:space="0" w:color="auto" w:frame="1"/>
          <w:lang w:eastAsia="bg-BG"/>
        </w:rPr>
        <w:t xml:space="preserve">Брой изведени от употреба печки и котли, които не отговарят на изискванията и/или брой повторни или първоначални свързвания с </w:t>
      </w:r>
      <w:proofErr w:type="spellStart"/>
      <w:r w:rsidR="003A5A71" w:rsidRPr="003A5A71">
        <w:rPr>
          <w:rFonts w:ascii="Times New Roman" w:eastAsia="Times New Roman" w:hAnsi="Times New Roman"/>
          <w:bCs/>
          <w:i/>
          <w:sz w:val="24"/>
          <w:szCs w:val="24"/>
          <w:bdr w:val="none" w:sz="0" w:space="0" w:color="auto" w:frame="1"/>
          <w:lang w:eastAsia="bg-BG"/>
        </w:rPr>
        <w:t>газоразпределителната</w:t>
      </w:r>
      <w:proofErr w:type="spellEnd"/>
      <w:r w:rsidR="003A5A71" w:rsidRPr="003A5A71">
        <w:rPr>
          <w:rFonts w:ascii="Times New Roman" w:eastAsia="Times New Roman" w:hAnsi="Times New Roman"/>
          <w:bCs/>
          <w:i/>
          <w:sz w:val="24"/>
          <w:szCs w:val="24"/>
          <w:bdr w:val="none" w:sz="0" w:space="0" w:color="auto" w:frame="1"/>
          <w:lang w:eastAsia="bg-BG"/>
        </w:rPr>
        <w:t xml:space="preserve"> или топлофикационна мрежа</w:t>
      </w:r>
      <w:r w:rsidR="00AE4574">
        <w:rPr>
          <w:rFonts w:ascii="Times New Roman" w:eastAsia="Times New Roman" w:hAnsi="Times New Roman"/>
          <w:bCs/>
          <w:i/>
          <w:sz w:val="24"/>
          <w:szCs w:val="24"/>
          <w:bdr w:val="none" w:sz="0" w:space="0" w:color="auto" w:frame="1"/>
          <w:lang w:eastAsia="bg-BG"/>
        </w:rPr>
        <w:t>,</w:t>
      </w:r>
      <w:r w:rsidR="003A5A71">
        <w:rPr>
          <w:rFonts w:ascii="Times New Roman" w:eastAsia="Times New Roman" w:hAnsi="Times New Roman"/>
          <w:bCs/>
          <w:i/>
          <w:sz w:val="24"/>
          <w:szCs w:val="24"/>
          <w:bdr w:val="none" w:sz="0" w:space="0" w:color="auto" w:frame="1"/>
          <w:lang w:eastAsia="bg-BG"/>
        </w:rPr>
        <w:t xml:space="preserve"> </w:t>
      </w:r>
      <w:r w:rsidR="009D546C">
        <w:rPr>
          <w:rFonts w:ascii="Times New Roman" w:eastAsia="Times New Roman" w:hAnsi="Times New Roman"/>
          <w:bCs/>
          <w:sz w:val="24"/>
          <w:szCs w:val="24"/>
          <w:bdr w:val="none" w:sz="0" w:space="0" w:color="auto" w:frame="1"/>
          <w:lang w:eastAsia="bg-BG"/>
        </w:rPr>
        <w:t>видно от информацията е, че отчетената стойност до момента за броя на уредите е значително по-малка от целевата стойност. Редно е да се отбележи, че отчете</w:t>
      </w:r>
      <w:r w:rsidR="00667E9A">
        <w:rPr>
          <w:rFonts w:ascii="Times New Roman" w:eastAsia="Times New Roman" w:hAnsi="Times New Roman"/>
          <w:bCs/>
          <w:sz w:val="24"/>
          <w:szCs w:val="24"/>
          <w:bdr w:val="none" w:sz="0" w:space="0" w:color="auto" w:frame="1"/>
          <w:lang w:eastAsia="bg-BG"/>
        </w:rPr>
        <w:t xml:space="preserve">ната бройка се базира на </w:t>
      </w:r>
      <w:r w:rsidR="009A7FF4">
        <w:rPr>
          <w:rFonts w:ascii="Times New Roman" w:eastAsia="Times New Roman" w:hAnsi="Times New Roman"/>
          <w:bCs/>
          <w:sz w:val="24"/>
          <w:szCs w:val="24"/>
          <w:bdr w:val="none" w:sz="0" w:space="0" w:color="auto" w:frame="1"/>
          <w:lang w:eastAsia="bg-BG"/>
        </w:rPr>
        <w:t xml:space="preserve">информация от описаните </w:t>
      </w:r>
      <w:r w:rsidR="00AE4574">
        <w:rPr>
          <w:rFonts w:ascii="Times New Roman" w:eastAsia="Times New Roman" w:hAnsi="Times New Roman"/>
          <w:bCs/>
          <w:sz w:val="24"/>
          <w:szCs w:val="24"/>
          <w:bdr w:val="none" w:sz="0" w:space="0" w:color="auto" w:frame="1"/>
          <w:lang w:eastAsia="bg-BG"/>
        </w:rPr>
        <w:t xml:space="preserve">в отчета </w:t>
      </w:r>
      <w:r w:rsidR="009A7FF4">
        <w:rPr>
          <w:rFonts w:ascii="Times New Roman" w:eastAsia="Times New Roman" w:hAnsi="Times New Roman"/>
          <w:bCs/>
          <w:sz w:val="24"/>
          <w:szCs w:val="24"/>
          <w:bdr w:val="none" w:sz="0" w:space="0" w:color="auto" w:frame="1"/>
          <w:lang w:eastAsia="bg-BG"/>
        </w:rPr>
        <w:t>п</w:t>
      </w:r>
      <w:r w:rsidR="009A7FF4" w:rsidRPr="009A7FF4">
        <w:rPr>
          <w:rFonts w:ascii="Times New Roman" w:eastAsia="Times New Roman" w:hAnsi="Times New Roman"/>
          <w:bCs/>
          <w:sz w:val="24"/>
          <w:szCs w:val="24"/>
          <w:bdr w:val="none" w:sz="0" w:space="0" w:color="auto" w:frame="1"/>
          <w:lang w:eastAsia="bg-BG"/>
        </w:rPr>
        <w:t>роекти и дейности, които съответстват на мярка</w:t>
      </w:r>
      <w:r w:rsidR="009A7FF4">
        <w:rPr>
          <w:rFonts w:ascii="Times New Roman" w:eastAsia="Times New Roman" w:hAnsi="Times New Roman"/>
          <w:bCs/>
          <w:sz w:val="24"/>
          <w:szCs w:val="24"/>
          <w:bdr w:val="none" w:sz="0" w:space="0" w:color="auto" w:frame="1"/>
          <w:lang w:eastAsia="bg-BG"/>
        </w:rPr>
        <w:t>та за задължителното поетапно извеждане от употреба на уреди на твърдо гориво</w:t>
      </w:r>
      <w:r w:rsidR="009A7FF4" w:rsidRPr="009A7FF4">
        <w:rPr>
          <w:rFonts w:ascii="Times New Roman" w:eastAsia="Times New Roman" w:hAnsi="Times New Roman"/>
          <w:bCs/>
          <w:sz w:val="24"/>
          <w:szCs w:val="24"/>
          <w:bdr w:val="none" w:sz="0" w:space="0" w:color="auto" w:frame="1"/>
          <w:lang w:eastAsia="bg-BG"/>
        </w:rPr>
        <w:t xml:space="preserve"> в сектор битово отопление</w:t>
      </w:r>
      <w:r w:rsidR="009A7FF4">
        <w:rPr>
          <w:rFonts w:ascii="Times New Roman" w:eastAsia="Times New Roman" w:hAnsi="Times New Roman"/>
          <w:bCs/>
          <w:sz w:val="24"/>
          <w:szCs w:val="24"/>
          <w:bdr w:val="none" w:sz="0" w:space="0" w:color="auto" w:frame="1"/>
          <w:lang w:eastAsia="bg-BG"/>
        </w:rPr>
        <w:t xml:space="preserve">. </w:t>
      </w:r>
      <w:r w:rsidR="00AE4574">
        <w:rPr>
          <w:rFonts w:ascii="Times New Roman" w:eastAsia="Times New Roman" w:hAnsi="Times New Roman"/>
          <w:bCs/>
          <w:sz w:val="24"/>
          <w:szCs w:val="24"/>
          <w:bdr w:val="none" w:sz="0" w:space="0" w:color="auto" w:frame="1"/>
          <w:lang w:eastAsia="bg-BG"/>
        </w:rPr>
        <w:t>К</w:t>
      </w:r>
      <w:r w:rsidR="00834D89">
        <w:rPr>
          <w:rFonts w:ascii="Times New Roman" w:eastAsia="Times New Roman" w:hAnsi="Times New Roman"/>
          <w:bCs/>
          <w:sz w:val="24"/>
          <w:szCs w:val="24"/>
          <w:bdr w:val="none" w:sz="0" w:space="0" w:color="auto" w:frame="1"/>
          <w:lang w:eastAsia="bg-BG"/>
        </w:rPr>
        <w:t>ъм тази бройка следва да се имат предвид и уредите, които гражданите по собствена инициатива са подменил</w:t>
      </w:r>
      <w:r w:rsidR="001E7C45">
        <w:rPr>
          <w:rFonts w:ascii="Times New Roman" w:eastAsia="Times New Roman" w:hAnsi="Times New Roman"/>
          <w:bCs/>
          <w:sz w:val="24"/>
          <w:szCs w:val="24"/>
          <w:bdr w:val="none" w:sz="0" w:space="0" w:color="auto" w:frame="1"/>
          <w:lang w:eastAsia="bg-BG"/>
        </w:rPr>
        <w:t>и през</w:t>
      </w:r>
      <w:r w:rsidR="00834D89">
        <w:rPr>
          <w:rFonts w:ascii="Times New Roman" w:eastAsia="Times New Roman" w:hAnsi="Times New Roman"/>
          <w:bCs/>
          <w:sz w:val="24"/>
          <w:szCs w:val="24"/>
          <w:bdr w:val="none" w:sz="0" w:space="0" w:color="auto" w:frame="1"/>
          <w:lang w:eastAsia="bg-BG"/>
        </w:rPr>
        <w:t xml:space="preserve"> период</w:t>
      </w:r>
      <w:r w:rsidR="001E7C45">
        <w:rPr>
          <w:rFonts w:ascii="Times New Roman" w:eastAsia="Times New Roman" w:hAnsi="Times New Roman"/>
          <w:bCs/>
          <w:sz w:val="24"/>
          <w:szCs w:val="24"/>
          <w:bdr w:val="none" w:sz="0" w:space="0" w:color="auto" w:frame="1"/>
          <w:lang w:eastAsia="bg-BG"/>
        </w:rPr>
        <w:t xml:space="preserve">а на действие на </w:t>
      </w:r>
      <w:r w:rsidR="00AE4574">
        <w:rPr>
          <w:rFonts w:ascii="Times New Roman" w:eastAsia="Times New Roman" w:hAnsi="Times New Roman"/>
          <w:bCs/>
          <w:sz w:val="24"/>
          <w:szCs w:val="24"/>
          <w:bdr w:val="none" w:sz="0" w:space="0" w:color="auto" w:frame="1"/>
          <w:lang w:eastAsia="bg-BG"/>
        </w:rPr>
        <w:t xml:space="preserve">националната </w:t>
      </w:r>
      <w:r w:rsidR="001E7C45">
        <w:rPr>
          <w:rFonts w:ascii="Times New Roman" w:eastAsia="Times New Roman" w:hAnsi="Times New Roman"/>
          <w:bCs/>
          <w:sz w:val="24"/>
          <w:szCs w:val="24"/>
          <w:bdr w:val="none" w:sz="0" w:space="0" w:color="auto" w:frame="1"/>
          <w:lang w:eastAsia="bg-BG"/>
        </w:rPr>
        <w:t>програма</w:t>
      </w:r>
      <w:r w:rsidR="00834D89">
        <w:rPr>
          <w:rFonts w:ascii="Times New Roman" w:eastAsia="Times New Roman" w:hAnsi="Times New Roman"/>
          <w:bCs/>
          <w:sz w:val="24"/>
          <w:szCs w:val="24"/>
          <w:bdr w:val="none" w:sz="0" w:space="0" w:color="auto" w:frame="1"/>
          <w:lang w:eastAsia="bg-BG"/>
        </w:rPr>
        <w:t>.</w:t>
      </w:r>
      <w:r w:rsidR="001E7C45">
        <w:rPr>
          <w:rFonts w:ascii="Times New Roman" w:eastAsia="Times New Roman" w:hAnsi="Times New Roman"/>
          <w:bCs/>
          <w:sz w:val="24"/>
          <w:szCs w:val="24"/>
          <w:bdr w:val="none" w:sz="0" w:space="0" w:color="auto" w:frame="1"/>
          <w:lang w:eastAsia="bg-BG"/>
        </w:rPr>
        <w:t xml:space="preserve"> Този процес на подмяна се потвърждава и от резултатите от преброяването през 2021г., </w:t>
      </w:r>
      <w:r w:rsidR="00AE4574">
        <w:rPr>
          <w:rFonts w:ascii="Times New Roman" w:eastAsia="Times New Roman" w:hAnsi="Times New Roman"/>
          <w:bCs/>
          <w:sz w:val="24"/>
          <w:szCs w:val="24"/>
          <w:bdr w:val="none" w:sz="0" w:space="0" w:color="auto" w:frame="1"/>
          <w:lang w:eastAsia="bg-BG"/>
        </w:rPr>
        <w:t xml:space="preserve">съгласно </w:t>
      </w:r>
      <w:r w:rsidR="001E7C45">
        <w:rPr>
          <w:rFonts w:ascii="Times New Roman" w:eastAsia="Times New Roman" w:hAnsi="Times New Roman"/>
          <w:bCs/>
          <w:sz w:val="24"/>
          <w:szCs w:val="24"/>
          <w:bdr w:val="none" w:sz="0" w:space="0" w:color="auto" w:frame="1"/>
          <w:lang w:eastAsia="bg-BG"/>
        </w:rPr>
        <w:t xml:space="preserve">които </w:t>
      </w:r>
      <w:r w:rsidR="00AE4574">
        <w:rPr>
          <w:rFonts w:ascii="Times New Roman" w:eastAsia="Times New Roman" w:hAnsi="Times New Roman"/>
          <w:bCs/>
          <w:sz w:val="24"/>
          <w:szCs w:val="24"/>
          <w:bdr w:val="none" w:sz="0" w:space="0" w:color="auto" w:frame="1"/>
          <w:lang w:eastAsia="bg-BG"/>
        </w:rPr>
        <w:t xml:space="preserve">се е увеличил дела на жилищата, които се </w:t>
      </w:r>
      <w:r w:rsidR="00AE4574">
        <w:rPr>
          <w:rFonts w:ascii="Times New Roman" w:eastAsia="Times New Roman" w:hAnsi="Times New Roman"/>
          <w:bCs/>
          <w:sz w:val="24"/>
          <w:szCs w:val="24"/>
          <w:bdr w:val="none" w:sz="0" w:space="0" w:color="auto" w:frame="1"/>
          <w:lang w:eastAsia="bg-BG"/>
        </w:rPr>
        <w:lastRenderedPageBreak/>
        <w:t>отопляват на електричество и са намалели тези, които използват твърди горива за отопление</w:t>
      </w:r>
      <w:r w:rsidR="001E7C45">
        <w:rPr>
          <w:rFonts w:ascii="Times New Roman" w:eastAsia="Times New Roman" w:hAnsi="Times New Roman"/>
          <w:bCs/>
          <w:sz w:val="24"/>
          <w:szCs w:val="24"/>
          <w:bdr w:val="none" w:sz="0" w:space="0" w:color="auto" w:frame="1"/>
          <w:lang w:eastAsia="bg-BG"/>
        </w:rPr>
        <w:t>.</w:t>
      </w:r>
      <w:r w:rsidR="00834D89">
        <w:rPr>
          <w:rFonts w:ascii="Times New Roman" w:eastAsia="Times New Roman" w:hAnsi="Times New Roman"/>
          <w:bCs/>
          <w:sz w:val="24"/>
          <w:szCs w:val="24"/>
          <w:bdr w:val="none" w:sz="0" w:space="0" w:color="auto" w:frame="1"/>
          <w:lang w:eastAsia="bg-BG"/>
        </w:rPr>
        <w:t xml:space="preserve"> </w:t>
      </w:r>
    </w:p>
    <w:p w14:paraId="267BFF36" w14:textId="728DFB40" w:rsidR="00EC32E5" w:rsidRDefault="00EC32E5" w:rsidP="002D0645">
      <w:pPr>
        <w:spacing w:after="0" w:line="240" w:lineRule="auto"/>
        <w:ind w:firstLine="1134"/>
        <w:jc w:val="both"/>
        <w:rPr>
          <w:rFonts w:ascii="Times New Roman" w:eastAsia="Times New Roman" w:hAnsi="Times New Roman"/>
          <w:bCs/>
          <w:sz w:val="24"/>
          <w:szCs w:val="24"/>
          <w:bdr w:val="none" w:sz="0" w:space="0" w:color="auto" w:frame="1"/>
          <w:lang w:eastAsia="bg-BG"/>
        </w:rPr>
      </w:pPr>
    </w:p>
    <w:p w14:paraId="068A75E8" w14:textId="77777777" w:rsidR="00A52E6E" w:rsidRPr="000F4119" w:rsidRDefault="00A52E6E" w:rsidP="000F4119">
      <w:pPr>
        <w:pStyle w:val="Heading1"/>
        <w:rPr>
          <w:rFonts w:ascii="Times New Roman" w:hAnsi="Times New Roman"/>
          <w:bCs/>
          <w:color w:val="auto"/>
          <w:bdr w:val="none" w:sz="0" w:space="0" w:color="auto" w:frame="1"/>
          <w:lang w:eastAsia="bg-BG"/>
        </w:rPr>
      </w:pPr>
      <w:bookmarkStart w:id="24" w:name="_ЗАКЛЮЧЕНИЕ"/>
      <w:bookmarkStart w:id="25" w:name="_Toc175822515"/>
      <w:bookmarkEnd w:id="24"/>
      <w:r w:rsidRPr="000F4119">
        <w:rPr>
          <w:rFonts w:ascii="Times New Roman" w:hAnsi="Times New Roman"/>
          <w:color w:val="auto"/>
          <w:sz w:val="26"/>
          <w:szCs w:val="26"/>
          <w:bdr w:val="none" w:sz="0" w:space="0" w:color="auto" w:frame="1"/>
          <w:lang w:eastAsia="bg-BG"/>
        </w:rPr>
        <w:t>ЗАКЛЮЧЕНИЕ</w:t>
      </w:r>
      <w:bookmarkEnd w:id="25"/>
    </w:p>
    <w:p w14:paraId="1F828670" w14:textId="198D0D74" w:rsidR="006C63B1" w:rsidRPr="006C63B1" w:rsidRDefault="006C63B1" w:rsidP="006C63B1">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Сл</w:t>
      </w:r>
      <w:r w:rsidRPr="006C63B1">
        <w:rPr>
          <w:rFonts w:ascii="Times New Roman" w:eastAsia="Times New Roman" w:hAnsi="Times New Roman"/>
          <w:bCs/>
          <w:sz w:val="24"/>
          <w:szCs w:val="24"/>
          <w:bdr w:val="none" w:sz="0" w:space="0" w:color="auto" w:frame="1"/>
          <w:lang w:eastAsia="bg-BG"/>
        </w:rPr>
        <w:t>ед постановяване</w:t>
      </w:r>
      <w:r>
        <w:rPr>
          <w:rFonts w:ascii="Times New Roman" w:eastAsia="Times New Roman" w:hAnsi="Times New Roman"/>
          <w:bCs/>
          <w:sz w:val="24"/>
          <w:szCs w:val="24"/>
          <w:bdr w:val="none" w:sz="0" w:space="0" w:color="auto" w:frame="1"/>
          <w:lang w:eastAsia="bg-BG"/>
        </w:rPr>
        <w:t>то през 2017</w:t>
      </w:r>
      <w:r w:rsidR="004D2F91">
        <w:rPr>
          <w:rFonts w:ascii="Times New Roman" w:eastAsia="Times New Roman" w:hAnsi="Times New Roman"/>
          <w:bCs/>
          <w:sz w:val="24"/>
          <w:szCs w:val="24"/>
          <w:bdr w:val="none" w:sz="0" w:space="0" w:color="auto" w:frame="1"/>
          <w:lang w:eastAsia="bg-BG"/>
        </w:rPr>
        <w:t xml:space="preserve"> </w:t>
      </w:r>
      <w:r w:rsidR="001F4159">
        <w:rPr>
          <w:rFonts w:ascii="Times New Roman" w:eastAsia="Times New Roman" w:hAnsi="Times New Roman"/>
          <w:bCs/>
          <w:sz w:val="24"/>
          <w:szCs w:val="24"/>
          <w:bdr w:val="none" w:sz="0" w:space="0" w:color="auto" w:frame="1"/>
          <w:lang w:eastAsia="bg-BG"/>
        </w:rPr>
        <w:t>година</w:t>
      </w:r>
      <w:r>
        <w:rPr>
          <w:rFonts w:ascii="Times New Roman" w:eastAsia="Times New Roman" w:hAnsi="Times New Roman"/>
          <w:bCs/>
          <w:sz w:val="24"/>
          <w:szCs w:val="24"/>
          <w:bdr w:val="none" w:sz="0" w:space="0" w:color="auto" w:frame="1"/>
          <w:lang w:eastAsia="bg-BG"/>
        </w:rPr>
        <w:t xml:space="preserve"> на решението на Съда на Европейския съюз</w:t>
      </w:r>
      <w:r w:rsidRPr="006C63B1">
        <w:rPr>
          <w:rFonts w:ascii="Times New Roman" w:eastAsia="Times New Roman" w:hAnsi="Times New Roman"/>
          <w:bCs/>
          <w:sz w:val="24"/>
          <w:szCs w:val="24"/>
          <w:bdr w:val="none" w:sz="0" w:space="0" w:color="auto" w:frame="1"/>
          <w:lang w:eastAsia="bg-BG"/>
        </w:rPr>
        <w:t xml:space="preserve"> </w:t>
      </w:r>
      <w:r w:rsidR="0086110B">
        <w:rPr>
          <w:rFonts w:ascii="Times New Roman" w:eastAsia="Times New Roman" w:hAnsi="Times New Roman"/>
          <w:bCs/>
          <w:sz w:val="24"/>
          <w:szCs w:val="24"/>
          <w:bdr w:val="none" w:sz="0" w:space="0" w:color="auto" w:frame="1"/>
          <w:lang w:eastAsia="bg-BG"/>
        </w:rPr>
        <w:t xml:space="preserve">по Дело С488/15, </w:t>
      </w:r>
      <w:r w:rsidRPr="006C63B1">
        <w:rPr>
          <w:rFonts w:ascii="Times New Roman" w:eastAsia="Times New Roman" w:hAnsi="Times New Roman"/>
          <w:bCs/>
          <w:sz w:val="24"/>
          <w:szCs w:val="24"/>
          <w:bdr w:val="none" w:sz="0" w:space="0" w:color="auto" w:frame="1"/>
          <w:lang w:eastAsia="bg-BG"/>
        </w:rPr>
        <w:t>от страна на Министерството на околната среда и водите бяха предприети редица мерки, както от нормативен, така и от стратегически характер. От ключово значение беше приемането на Националната програма за качеството на атмосферния въздух (НППКАВ) 2018 – 2024г.</w:t>
      </w:r>
      <w:r>
        <w:rPr>
          <w:rFonts w:ascii="Times New Roman" w:eastAsia="Times New Roman" w:hAnsi="Times New Roman"/>
          <w:bCs/>
          <w:sz w:val="24"/>
          <w:szCs w:val="24"/>
          <w:bdr w:val="none" w:sz="0" w:space="0" w:color="auto" w:frame="1"/>
          <w:lang w:eastAsia="bg-BG"/>
        </w:rPr>
        <w:t xml:space="preserve">, чийто хоризонт е до края на настоящата година. </w:t>
      </w:r>
    </w:p>
    <w:p w14:paraId="7BE14E49" w14:textId="0A552840" w:rsidR="006C63B1" w:rsidRPr="006C63B1" w:rsidRDefault="006C63B1" w:rsidP="003A2FC7">
      <w:pPr>
        <w:spacing w:after="0" w:line="240" w:lineRule="auto"/>
        <w:ind w:firstLine="1134"/>
        <w:jc w:val="both"/>
        <w:rPr>
          <w:rFonts w:ascii="Times New Roman" w:eastAsia="Times New Roman" w:hAnsi="Times New Roman"/>
          <w:bCs/>
          <w:sz w:val="24"/>
          <w:szCs w:val="24"/>
          <w:bdr w:val="none" w:sz="0" w:space="0" w:color="auto" w:frame="1"/>
          <w:lang w:eastAsia="bg-BG"/>
        </w:rPr>
      </w:pPr>
      <w:r>
        <w:rPr>
          <w:rFonts w:ascii="Times New Roman" w:eastAsia="Times New Roman" w:hAnsi="Times New Roman"/>
          <w:bCs/>
          <w:sz w:val="24"/>
          <w:szCs w:val="24"/>
          <w:bdr w:val="none" w:sz="0" w:space="0" w:color="auto" w:frame="1"/>
          <w:lang w:eastAsia="bg-BG"/>
        </w:rPr>
        <w:t>С</w:t>
      </w:r>
      <w:r w:rsidRPr="006C63B1">
        <w:rPr>
          <w:rFonts w:ascii="Times New Roman" w:eastAsia="Times New Roman" w:hAnsi="Times New Roman"/>
          <w:bCs/>
          <w:sz w:val="24"/>
          <w:szCs w:val="24"/>
          <w:bdr w:val="none" w:sz="0" w:space="0" w:color="auto" w:frame="1"/>
          <w:lang w:eastAsia="bg-BG"/>
        </w:rPr>
        <w:t xml:space="preserve"> оглед опазване на човешкото здраве</w:t>
      </w:r>
      <w:r>
        <w:rPr>
          <w:rFonts w:ascii="Times New Roman" w:eastAsia="Times New Roman" w:hAnsi="Times New Roman"/>
          <w:bCs/>
          <w:sz w:val="24"/>
          <w:szCs w:val="24"/>
          <w:bdr w:val="none" w:sz="0" w:space="0" w:color="auto" w:frame="1"/>
          <w:lang w:eastAsia="bg-BG"/>
        </w:rPr>
        <w:t xml:space="preserve"> и</w:t>
      </w:r>
      <w:r w:rsidRPr="006C63B1">
        <w:rPr>
          <w:rFonts w:ascii="Times New Roman" w:eastAsia="Times New Roman" w:hAnsi="Times New Roman"/>
          <w:bCs/>
          <w:sz w:val="24"/>
          <w:szCs w:val="24"/>
          <w:bdr w:val="none" w:sz="0" w:space="0" w:color="auto" w:frame="1"/>
          <w:lang w:eastAsia="bg-BG"/>
        </w:rPr>
        <w:t xml:space="preserve"> постигане на установените норми по замърсител ФПЧ</w:t>
      </w:r>
      <w:r w:rsidRPr="006C63B1">
        <w:rPr>
          <w:rFonts w:ascii="Times New Roman" w:eastAsia="Times New Roman" w:hAnsi="Times New Roman"/>
          <w:bCs/>
          <w:sz w:val="24"/>
          <w:szCs w:val="24"/>
          <w:bdr w:val="none" w:sz="0" w:space="0" w:color="auto" w:frame="1"/>
          <w:vertAlign w:val="subscript"/>
          <w:lang w:eastAsia="bg-BG"/>
        </w:rPr>
        <w:t>10</w:t>
      </w:r>
      <w:r>
        <w:rPr>
          <w:rFonts w:ascii="Times New Roman" w:eastAsia="Times New Roman" w:hAnsi="Times New Roman"/>
          <w:bCs/>
          <w:sz w:val="24"/>
          <w:szCs w:val="24"/>
          <w:bdr w:val="none" w:sz="0" w:space="0" w:color="auto" w:frame="1"/>
          <w:lang w:eastAsia="bg-BG"/>
        </w:rPr>
        <w:t xml:space="preserve">, както и </w:t>
      </w:r>
      <w:r w:rsidR="005A2630">
        <w:rPr>
          <w:rFonts w:ascii="Times New Roman" w:eastAsia="Times New Roman" w:hAnsi="Times New Roman"/>
          <w:bCs/>
          <w:sz w:val="24"/>
          <w:szCs w:val="24"/>
          <w:bdr w:val="none" w:sz="0" w:space="0" w:color="auto" w:frame="1"/>
          <w:lang w:eastAsia="bg-BG"/>
        </w:rPr>
        <w:t xml:space="preserve">за </w:t>
      </w:r>
      <w:r>
        <w:rPr>
          <w:rFonts w:ascii="Times New Roman" w:eastAsia="Times New Roman" w:hAnsi="Times New Roman"/>
          <w:bCs/>
          <w:sz w:val="24"/>
          <w:szCs w:val="24"/>
          <w:bdr w:val="none" w:sz="0" w:space="0" w:color="auto" w:frame="1"/>
          <w:lang w:eastAsia="bg-BG"/>
        </w:rPr>
        <w:t>успешното</w:t>
      </w:r>
      <w:r w:rsidRPr="006C63B1">
        <w:rPr>
          <w:rFonts w:ascii="Times New Roman" w:eastAsia="Times New Roman" w:hAnsi="Times New Roman"/>
          <w:bCs/>
          <w:sz w:val="24"/>
          <w:szCs w:val="24"/>
          <w:bdr w:val="none" w:sz="0" w:space="0" w:color="auto" w:frame="1"/>
          <w:lang w:eastAsia="bg-BG"/>
        </w:rPr>
        <w:t xml:space="preserve"> изпълнение на Националната програма </w:t>
      </w:r>
      <w:r w:rsidR="005A2630">
        <w:rPr>
          <w:rFonts w:ascii="Times New Roman" w:eastAsia="Times New Roman" w:hAnsi="Times New Roman"/>
          <w:bCs/>
          <w:sz w:val="24"/>
          <w:szCs w:val="24"/>
          <w:bdr w:val="none" w:sz="0" w:space="0" w:color="auto" w:frame="1"/>
          <w:lang w:eastAsia="bg-BG"/>
        </w:rPr>
        <w:t>до</w:t>
      </w:r>
      <w:r w:rsidRPr="006C63B1">
        <w:rPr>
          <w:rFonts w:ascii="Times New Roman" w:eastAsia="Times New Roman" w:hAnsi="Times New Roman"/>
          <w:bCs/>
          <w:sz w:val="24"/>
          <w:szCs w:val="24"/>
          <w:bdr w:val="none" w:sz="0" w:space="0" w:color="auto" w:frame="1"/>
          <w:lang w:eastAsia="bg-BG"/>
        </w:rPr>
        <w:t xml:space="preserve"> края на 2024г.</w:t>
      </w:r>
      <w:r>
        <w:rPr>
          <w:rFonts w:ascii="Times New Roman" w:eastAsia="Times New Roman" w:hAnsi="Times New Roman"/>
          <w:bCs/>
          <w:sz w:val="24"/>
          <w:szCs w:val="24"/>
          <w:bdr w:val="none" w:sz="0" w:space="0" w:color="auto" w:frame="1"/>
          <w:lang w:eastAsia="bg-BG"/>
        </w:rPr>
        <w:t>, от ключово значение е</w:t>
      </w:r>
      <w:r w:rsidR="005A2630">
        <w:rPr>
          <w:rFonts w:ascii="Times New Roman" w:eastAsia="Times New Roman" w:hAnsi="Times New Roman"/>
          <w:bCs/>
          <w:sz w:val="24"/>
          <w:szCs w:val="24"/>
          <w:bdr w:val="none" w:sz="0" w:space="0" w:color="auto" w:frame="1"/>
          <w:lang w:eastAsia="bg-BG"/>
        </w:rPr>
        <w:t xml:space="preserve"> прилагането на</w:t>
      </w:r>
      <w:r w:rsidRPr="006C63B1">
        <w:rPr>
          <w:rFonts w:ascii="Times New Roman" w:eastAsia="Times New Roman" w:hAnsi="Times New Roman"/>
          <w:bCs/>
          <w:sz w:val="24"/>
          <w:szCs w:val="24"/>
          <w:bdr w:val="none" w:sz="0" w:space="0" w:color="auto" w:frame="1"/>
          <w:lang w:eastAsia="bg-BG"/>
        </w:rPr>
        <w:t xml:space="preserve"> съвместни усилия </w:t>
      </w:r>
      <w:r w:rsidR="005A2630">
        <w:rPr>
          <w:rFonts w:ascii="Times New Roman" w:eastAsia="Times New Roman" w:hAnsi="Times New Roman"/>
          <w:bCs/>
          <w:sz w:val="24"/>
          <w:szCs w:val="24"/>
          <w:bdr w:val="none" w:sz="0" w:space="0" w:color="auto" w:frame="1"/>
          <w:lang w:eastAsia="bg-BG"/>
        </w:rPr>
        <w:t>от</w:t>
      </w:r>
      <w:r w:rsidRPr="006C63B1">
        <w:rPr>
          <w:rFonts w:ascii="Times New Roman" w:eastAsia="Times New Roman" w:hAnsi="Times New Roman"/>
          <w:bCs/>
          <w:sz w:val="24"/>
          <w:szCs w:val="24"/>
          <w:bdr w:val="none" w:sz="0" w:space="0" w:color="auto" w:frame="1"/>
          <w:lang w:eastAsia="bg-BG"/>
        </w:rPr>
        <w:t xml:space="preserve"> всички заинтересовани страни</w:t>
      </w:r>
      <w:r>
        <w:rPr>
          <w:rFonts w:ascii="Times New Roman" w:eastAsia="Times New Roman" w:hAnsi="Times New Roman"/>
          <w:bCs/>
          <w:sz w:val="24"/>
          <w:szCs w:val="24"/>
          <w:bdr w:val="none" w:sz="0" w:space="0" w:color="auto" w:frame="1"/>
          <w:lang w:eastAsia="bg-BG"/>
        </w:rPr>
        <w:t xml:space="preserve">. </w:t>
      </w:r>
      <w:r w:rsidR="005A2630">
        <w:rPr>
          <w:rFonts w:ascii="Times New Roman" w:eastAsia="Times New Roman" w:hAnsi="Times New Roman"/>
          <w:bCs/>
          <w:sz w:val="24"/>
          <w:szCs w:val="24"/>
          <w:bdr w:val="none" w:sz="0" w:space="0" w:color="auto" w:frame="1"/>
          <w:lang w:eastAsia="bg-BG"/>
        </w:rPr>
        <w:t>Постигането на нормите е необходимо и с оглед</w:t>
      </w:r>
      <w:r w:rsidRPr="006C63B1">
        <w:rPr>
          <w:rFonts w:ascii="Times New Roman" w:eastAsia="Times New Roman" w:hAnsi="Times New Roman"/>
          <w:bCs/>
          <w:sz w:val="24"/>
          <w:szCs w:val="24"/>
          <w:bdr w:val="none" w:sz="0" w:space="0" w:color="auto" w:frame="1"/>
          <w:lang w:eastAsia="bg-BG"/>
        </w:rPr>
        <w:t xml:space="preserve"> закри</w:t>
      </w:r>
      <w:r w:rsidR="005A2630">
        <w:rPr>
          <w:rFonts w:ascii="Times New Roman" w:eastAsia="Times New Roman" w:hAnsi="Times New Roman"/>
          <w:bCs/>
          <w:sz w:val="24"/>
          <w:szCs w:val="24"/>
          <w:bdr w:val="none" w:sz="0" w:space="0" w:color="auto" w:frame="1"/>
          <w:lang w:eastAsia="bg-BG"/>
        </w:rPr>
        <w:t>ване на</w:t>
      </w:r>
      <w:r w:rsidRPr="006C63B1">
        <w:rPr>
          <w:rFonts w:ascii="Times New Roman" w:eastAsia="Times New Roman" w:hAnsi="Times New Roman"/>
          <w:bCs/>
          <w:sz w:val="24"/>
          <w:szCs w:val="24"/>
          <w:bdr w:val="none" w:sz="0" w:space="0" w:color="auto" w:frame="1"/>
          <w:lang w:eastAsia="bg-BG"/>
        </w:rPr>
        <w:t xml:space="preserve"> процедурата за нарушение и изб</w:t>
      </w:r>
      <w:r w:rsidR="005A2630">
        <w:rPr>
          <w:rFonts w:ascii="Times New Roman" w:eastAsia="Times New Roman" w:hAnsi="Times New Roman"/>
          <w:bCs/>
          <w:sz w:val="24"/>
          <w:szCs w:val="24"/>
          <w:bdr w:val="none" w:sz="0" w:space="0" w:color="auto" w:frame="1"/>
          <w:lang w:eastAsia="bg-BG"/>
        </w:rPr>
        <w:t>ягва</w:t>
      </w:r>
      <w:r w:rsidRPr="006C63B1">
        <w:rPr>
          <w:rFonts w:ascii="Times New Roman" w:eastAsia="Times New Roman" w:hAnsi="Times New Roman"/>
          <w:bCs/>
          <w:sz w:val="24"/>
          <w:szCs w:val="24"/>
          <w:bdr w:val="none" w:sz="0" w:space="0" w:color="auto" w:frame="1"/>
          <w:lang w:eastAsia="bg-BG"/>
        </w:rPr>
        <w:t xml:space="preserve">не </w:t>
      </w:r>
      <w:r w:rsidR="005A2630">
        <w:rPr>
          <w:rFonts w:ascii="Times New Roman" w:eastAsia="Times New Roman" w:hAnsi="Times New Roman"/>
          <w:bCs/>
          <w:sz w:val="24"/>
          <w:szCs w:val="24"/>
          <w:bdr w:val="none" w:sz="0" w:space="0" w:color="auto" w:frame="1"/>
          <w:lang w:eastAsia="bg-BG"/>
        </w:rPr>
        <w:t xml:space="preserve">на </w:t>
      </w:r>
      <w:r w:rsidRPr="006C63B1">
        <w:rPr>
          <w:rFonts w:ascii="Times New Roman" w:eastAsia="Times New Roman" w:hAnsi="Times New Roman"/>
          <w:bCs/>
          <w:sz w:val="24"/>
          <w:szCs w:val="24"/>
          <w:bdr w:val="none" w:sz="0" w:space="0" w:color="auto" w:frame="1"/>
          <w:lang w:eastAsia="bg-BG"/>
        </w:rPr>
        <w:t xml:space="preserve">евентуално повторно започване на дело срещу България за налагане на финансови санкции. </w:t>
      </w:r>
      <w:r w:rsidR="003A2FC7">
        <w:rPr>
          <w:rFonts w:ascii="Times New Roman" w:eastAsia="Times New Roman" w:hAnsi="Times New Roman"/>
          <w:bCs/>
          <w:sz w:val="24"/>
          <w:szCs w:val="24"/>
          <w:bdr w:val="none" w:sz="0" w:space="0" w:color="auto" w:frame="1"/>
          <w:lang w:eastAsia="bg-BG"/>
        </w:rPr>
        <w:t>Р</w:t>
      </w:r>
      <w:r w:rsidRPr="006C63B1">
        <w:rPr>
          <w:rFonts w:ascii="Times New Roman" w:eastAsia="Times New Roman" w:hAnsi="Times New Roman"/>
          <w:bCs/>
          <w:sz w:val="24"/>
          <w:szCs w:val="24"/>
          <w:bdr w:val="none" w:sz="0" w:space="0" w:color="auto" w:frame="1"/>
          <w:lang w:eastAsia="bg-BG"/>
        </w:rPr>
        <w:t>ешение</w:t>
      </w:r>
      <w:r w:rsidR="003A2FC7">
        <w:rPr>
          <w:rFonts w:ascii="Times New Roman" w:eastAsia="Times New Roman" w:hAnsi="Times New Roman"/>
          <w:bCs/>
          <w:sz w:val="24"/>
          <w:szCs w:val="24"/>
          <w:bdr w:val="none" w:sz="0" w:space="0" w:color="auto" w:frame="1"/>
          <w:lang w:eastAsia="bg-BG"/>
        </w:rPr>
        <w:t>то</w:t>
      </w:r>
      <w:r w:rsidRPr="006C63B1">
        <w:rPr>
          <w:rFonts w:ascii="Times New Roman" w:eastAsia="Times New Roman" w:hAnsi="Times New Roman"/>
          <w:bCs/>
          <w:sz w:val="24"/>
          <w:szCs w:val="24"/>
          <w:bdr w:val="none" w:sz="0" w:space="0" w:color="auto" w:frame="1"/>
          <w:lang w:eastAsia="bg-BG"/>
        </w:rPr>
        <w:t xml:space="preserve"> на Съда на ЕС от 2017г. е установително по своя характер, по сила</w:t>
      </w:r>
      <w:r w:rsidR="003A2FC7">
        <w:rPr>
          <w:rFonts w:ascii="Times New Roman" w:eastAsia="Times New Roman" w:hAnsi="Times New Roman"/>
          <w:bCs/>
          <w:sz w:val="24"/>
          <w:szCs w:val="24"/>
          <w:bdr w:val="none" w:sz="0" w:space="0" w:color="auto" w:frame="1"/>
          <w:lang w:eastAsia="bg-BG"/>
        </w:rPr>
        <w:t>та на което</w:t>
      </w:r>
      <w:r w:rsidRPr="006C63B1">
        <w:rPr>
          <w:rFonts w:ascii="Times New Roman" w:eastAsia="Times New Roman" w:hAnsi="Times New Roman"/>
          <w:bCs/>
          <w:sz w:val="24"/>
          <w:szCs w:val="24"/>
          <w:bdr w:val="none" w:sz="0" w:space="0" w:color="auto" w:frame="1"/>
          <w:lang w:eastAsia="bg-BG"/>
        </w:rPr>
        <w:t xml:space="preserve"> България следва да постигне реален резултат</w:t>
      </w:r>
      <w:r w:rsidR="005A2630">
        <w:rPr>
          <w:rFonts w:ascii="Times New Roman" w:eastAsia="Times New Roman" w:hAnsi="Times New Roman"/>
          <w:bCs/>
          <w:sz w:val="24"/>
          <w:szCs w:val="24"/>
          <w:bdr w:val="none" w:sz="0" w:space="0" w:color="auto" w:frame="1"/>
          <w:lang w:eastAsia="bg-BG"/>
        </w:rPr>
        <w:t xml:space="preserve"> –</w:t>
      </w:r>
      <w:r w:rsidRPr="006C63B1">
        <w:rPr>
          <w:rFonts w:ascii="Times New Roman" w:eastAsia="Times New Roman" w:hAnsi="Times New Roman"/>
          <w:bCs/>
          <w:sz w:val="24"/>
          <w:szCs w:val="24"/>
          <w:bdr w:val="none" w:sz="0" w:space="0" w:color="auto" w:frame="1"/>
          <w:lang w:eastAsia="bg-BG"/>
        </w:rPr>
        <w:t xml:space="preserve"> постигане на съответствие с нормите за </w:t>
      </w:r>
      <w:r w:rsidRPr="006C63B1">
        <w:rPr>
          <w:rFonts w:ascii="Times New Roman" w:eastAsia="Times New Roman" w:hAnsi="Times New Roman"/>
          <w:bCs/>
          <w:sz w:val="24"/>
          <w:szCs w:val="24"/>
          <w:bdr w:val="none" w:sz="0" w:space="0" w:color="auto" w:frame="1"/>
          <w:lang w:val="ru-RU" w:eastAsia="bg-BG"/>
        </w:rPr>
        <w:t>ФПЧ</w:t>
      </w:r>
      <w:r w:rsidRPr="006C63B1">
        <w:rPr>
          <w:rFonts w:ascii="Times New Roman" w:eastAsia="Times New Roman" w:hAnsi="Times New Roman"/>
          <w:bCs/>
          <w:sz w:val="24"/>
          <w:szCs w:val="24"/>
          <w:bdr w:val="none" w:sz="0" w:space="0" w:color="auto" w:frame="1"/>
          <w:vertAlign w:val="subscript"/>
          <w:lang w:val="ru-RU" w:eastAsia="bg-BG"/>
        </w:rPr>
        <w:t>10</w:t>
      </w:r>
      <w:r w:rsidRPr="006C63B1">
        <w:rPr>
          <w:rFonts w:ascii="Times New Roman" w:eastAsia="Times New Roman" w:hAnsi="Times New Roman"/>
          <w:bCs/>
          <w:sz w:val="24"/>
          <w:szCs w:val="24"/>
          <w:bdr w:val="none" w:sz="0" w:space="0" w:color="auto" w:frame="1"/>
          <w:lang w:eastAsia="bg-BG"/>
        </w:rPr>
        <w:t xml:space="preserve"> на територията на цялата страна. </w:t>
      </w:r>
    </w:p>
    <w:p w14:paraId="758DEA8B" w14:textId="77777777" w:rsidR="006C63B1" w:rsidRPr="001C365A" w:rsidRDefault="006C63B1" w:rsidP="001C365A">
      <w:pPr>
        <w:spacing w:after="0" w:line="240" w:lineRule="auto"/>
        <w:ind w:firstLine="1134"/>
        <w:jc w:val="both"/>
        <w:rPr>
          <w:rFonts w:ascii="Times New Roman" w:eastAsia="Times New Roman" w:hAnsi="Times New Roman"/>
          <w:bCs/>
          <w:sz w:val="24"/>
          <w:szCs w:val="24"/>
          <w:bdr w:val="none" w:sz="0" w:space="0" w:color="auto" w:frame="1"/>
          <w:lang w:eastAsia="bg-BG"/>
        </w:rPr>
      </w:pPr>
    </w:p>
    <w:sectPr w:rsidR="006C63B1" w:rsidRPr="001C365A" w:rsidSect="00CA18E1">
      <w:footerReference w:type="default" r:id="rId13"/>
      <w:footerReference w:type="first" r:id="rId14"/>
      <w:pgSz w:w="11906" w:h="16838"/>
      <w:pgMar w:top="956" w:right="1417" w:bottom="1276" w:left="1417" w:header="705"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59E70" w14:textId="77777777" w:rsidR="00FF7BE4" w:rsidRDefault="00FF7BE4" w:rsidP="00344A2F">
      <w:pPr>
        <w:spacing w:after="0" w:line="240" w:lineRule="auto"/>
      </w:pPr>
      <w:r>
        <w:separator/>
      </w:r>
    </w:p>
  </w:endnote>
  <w:endnote w:type="continuationSeparator" w:id="0">
    <w:p w14:paraId="0EB3D7C0" w14:textId="77777777" w:rsidR="00FF7BE4" w:rsidRDefault="00FF7BE4" w:rsidP="0034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utura Bk">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EC5F" w14:textId="2A68A6A6" w:rsidR="00834D89" w:rsidRDefault="00834D89">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3C07FE">
      <w:rPr>
        <w:b/>
        <w:bCs/>
        <w:noProof/>
      </w:rPr>
      <w:t>19</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3C07FE">
      <w:rPr>
        <w:b/>
        <w:bCs/>
        <w:noProof/>
      </w:rPr>
      <w:t>19</w:t>
    </w:r>
    <w:r>
      <w:rPr>
        <w:b/>
        <w:bCs/>
        <w:sz w:val="24"/>
        <w:szCs w:val="24"/>
      </w:rPr>
      <w:fldChar w:fldCharType="end"/>
    </w:r>
  </w:p>
  <w:p w14:paraId="4F6CDCB1" w14:textId="77777777" w:rsidR="00834D89" w:rsidRDefault="00834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3C73" w14:textId="77777777" w:rsidR="00834D89" w:rsidRDefault="00834D89" w:rsidP="002053A9">
    <w:pPr>
      <w:pStyle w:val="Footer"/>
      <w:tabs>
        <w:tab w:val="clear" w:pos="4536"/>
        <w:tab w:val="clear" w:pos="9072"/>
        <w:tab w:val="left" w:pos="27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13689" w14:textId="77777777" w:rsidR="00FF7BE4" w:rsidRDefault="00FF7BE4" w:rsidP="00344A2F">
      <w:pPr>
        <w:spacing w:after="0" w:line="240" w:lineRule="auto"/>
      </w:pPr>
      <w:r>
        <w:separator/>
      </w:r>
    </w:p>
  </w:footnote>
  <w:footnote w:type="continuationSeparator" w:id="0">
    <w:p w14:paraId="4F947B1B" w14:textId="77777777" w:rsidR="00FF7BE4" w:rsidRDefault="00FF7BE4" w:rsidP="00344A2F">
      <w:pPr>
        <w:spacing w:after="0" w:line="240" w:lineRule="auto"/>
      </w:pPr>
      <w:r>
        <w:continuationSeparator/>
      </w:r>
    </w:p>
  </w:footnote>
  <w:footnote w:id="1">
    <w:p w14:paraId="096D590B" w14:textId="6BFE2B3F" w:rsidR="00834D89" w:rsidRDefault="00834D89" w:rsidP="001A3F66">
      <w:pPr>
        <w:pStyle w:val="FootnoteText"/>
      </w:pPr>
      <w:r>
        <w:rPr>
          <w:rStyle w:val="FootnoteReference"/>
        </w:rPr>
        <w:footnoteRef/>
      </w:r>
      <w:r>
        <w:t xml:space="preserve"> </w:t>
      </w:r>
      <w:hyperlink r:id="rId1" w:history="1">
        <w:r w:rsidRPr="00BC7217">
          <w:rPr>
            <w:rStyle w:val="Hyperlink"/>
            <w:rFonts w:ascii="Times New Roman" w:hAnsi="Times New Roman"/>
          </w:rPr>
          <w:t>https://www.damtn.government.bg/wp-content/uploads/2024/03/damtn_otchet2023.pdf</w:t>
        </w:r>
      </w:hyperlink>
    </w:p>
  </w:footnote>
  <w:footnote w:id="2">
    <w:p w14:paraId="003A6C2E" w14:textId="77777777" w:rsidR="00834D89" w:rsidRPr="001309CC" w:rsidRDefault="00834D89">
      <w:pPr>
        <w:pStyle w:val="FootnoteText"/>
        <w:rPr>
          <w:rFonts w:ascii="Times New Roman" w:hAnsi="Times New Roman"/>
        </w:rPr>
      </w:pPr>
      <w:r w:rsidRPr="00C22835">
        <w:rPr>
          <w:rStyle w:val="FootnoteReference"/>
          <w:rFonts w:ascii="Times New Roman" w:hAnsi="Times New Roman"/>
        </w:rPr>
        <w:footnoteRef/>
      </w:r>
      <w:r w:rsidRPr="00C22835">
        <w:rPr>
          <w:rFonts w:ascii="Times New Roman" w:hAnsi="Times New Roman"/>
        </w:rPr>
        <w:t xml:space="preserve"> </w:t>
      </w:r>
      <w:hyperlink r:id="rId2" w:history="1">
        <w:r w:rsidRPr="002E492F">
          <w:rPr>
            <w:rStyle w:val="Hyperlink"/>
            <w:rFonts w:ascii="Times New Roman" w:hAnsi="Times New Roman"/>
          </w:rPr>
          <w:t>https://lifeipcleanair.eu/</w:t>
        </w:r>
      </w:hyperlink>
      <w:r>
        <w:rPr>
          <w:rFonts w:ascii="Times New Roman" w:hAnsi="Times New Roman"/>
        </w:rPr>
        <w:t xml:space="preserve"> </w:t>
      </w:r>
    </w:p>
  </w:footnote>
  <w:footnote w:id="3">
    <w:p w14:paraId="5C54DF20" w14:textId="77777777" w:rsidR="00834D89" w:rsidRPr="004961EC" w:rsidRDefault="00834D89">
      <w:pPr>
        <w:pStyle w:val="FootnoteText"/>
        <w:rPr>
          <w:rFonts w:ascii="Times New Roman" w:hAnsi="Times New Roman"/>
        </w:rPr>
      </w:pPr>
      <w:r w:rsidRPr="004961EC">
        <w:rPr>
          <w:rStyle w:val="FootnoteReference"/>
          <w:rFonts w:ascii="Times New Roman" w:hAnsi="Times New Roman"/>
        </w:rPr>
        <w:footnoteRef/>
      </w:r>
      <w:r w:rsidRPr="004961EC">
        <w:rPr>
          <w:rFonts w:ascii="Times New Roman" w:hAnsi="Times New Roman"/>
        </w:rPr>
        <w:t xml:space="preserve"> </w:t>
      </w:r>
      <w:hyperlink r:id="rId3" w:history="1">
        <w:r w:rsidRPr="004961EC">
          <w:rPr>
            <w:rStyle w:val="Hyperlink"/>
            <w:rFonts w:ascii="Times New Roman" w:hAnsi="Times New Roman"/>
            <w:bCs/>
            <w:iCs/>
          </w:rPr>
          <w:t>https://air2.sofia.bg/airpublic/low/emission/zones/</w:t>
        </w:r>
      </w:hyperlink>
    </w:p>
  </w:footnote>
  <w:footnote w:id="4">
    <w:p w14:paraId="3F00B43B" w14:textId="254209BA" w:rsidR="00834D89" w:rsidRPr="004961EC" w:rsidRDefault="00834D89">
      <w:pPr>
        <w:pStyle w:val="FootnoteText"/>
        <w:rPr>
          <w:rFonts w:ascii="Times New Roman" w:hAnsi="Times New Roman"/>
        </w:rPr>
      </w:pPr>
      <w:r w:rsidRPr="004961EC">
        <w:rPr>
          <w:rStyle w:val="FootnoteReference"/>
          <w:rFonts w:ascii="Times New Roman" w:hAnsi="Times New Roman"/>
        </w:rPr>
        <w:footnoteRef/>
      </w:r>
      <w:r w:rsidRPr="004961EC">
        <w:rPr>
          <w:rFonts w:ascii="Times New Roman" w:hAnsi="Times New Roman"/>
        </w:rPr>
        <w:t xml:space="preserve"> </w:t>
      </w:r>
      <w:hyperlink r:id="rId4" w:history="1">
        <w:r w:rsidRPr="004961EC">
          <w:rPr>
            <w:rStyle w:val="Hyperlink"/>
            <w:rFonts w:ascii="Times New Roman" w:hAnsi="Times New Roman"/>
          </w:rPr>
          <w:t>https://nsi.bg/sites/default/files/files/pressreleases/Census2021_housing_conditions.pdf</w:t>
        </w:r>
      </w:hyperlink>
      <w:r w:rsidRPr="004961EC">
        <w:rPr>
          <w:rFonts w:ascii="Times New Roman" w:hAnsi="Times New Roman"/>
        </w:rPr>
        <w:t xml:space="preserve"> </w:t>
      </w:r>
    </w:p>
  </w:footnote>
  <w:footnote w:id="5">
    <w:p w14:paraId="190F08FD" w14:textId="44C5CD76" w:rsidR="00834D89" w:rsidRPr="004961EC" w:rsidRDefault="00834D89">
      <w:pPr>
        <w:pStyle w:val="FootnoteText"/>
        <w:rPr>
          <w:rFonts w:ascii="Times New Roman" w:hAnsi="Times New Roman"/>
        </w:rPr>
      </w:pPr>
      <w:r w:rsidRPr="004961EC">
        <w:rPr>
          <w:rStyle w:val="FootnoteReference"/>
          <w:rFonts w:ascii="Times New Roman" w:hAnsi="Times New Roman"/>
        </w:rPr>
        <w:footnoteRef/>
      </w:r>
      <w:r w:rsidRPr="004961EC">
        <w:rPr>
          <w:rFonts w:ascii="Times New Roman" w:hAnsi="Times New Roman"/>
        </w:rPr>
        <w:t xml:space="preserve"> </w:t>
      </w:r>
      <w:hyperlink r:id="rId5" w:history="1">
        <w:r w:rsidRPr="004961EC">
          <w:rPr>
            <w:rStyle w:val="Hyperlink"/>
            <w:rFonts w:ascii="Times New Roman" w:hAnsi="Times New Roman"/>
          </w:rPr>
          <w:t>https://www.nsi.bg/sites/default/files/files/pressreleases/Census2011final.pdf</w:t>
        </w:r>
      </w:hyperlink>
      <w:r w:rsidRPr="004961EC">
        <w:rPr>
          <w:rFonts w:ascii="Times New Roman" w:hAnsi="Times New Roman"/>
        </w:rPr>
        <w:t xml:space="preserve"> </w:t>
      </w:r>
    </w:p>
  </w:footnote>
  <w:footnote w:id="6">
    <w:p w14:paraId="70D8854F" w14:textId="77777777" w:rsidR="00834D89" w:rsidRPr="00F90CFA" w:rsidRDefault="00834D89">
      <w:pPr>
        <w:pStyle w:val="FootnoteText"/>
        <w:rPr>
          <w:rFonts w:ascii="Times New Roman" w:hAnsi="Times New Roman"/>
        </w:rPr>
      </w:pPr>
      <w:r w:rsidRPr="00604227">
        <w:rPr>
          <w:rStyle w:val="FootnoteReference"/>
          <w:rFonts w:ascii="Times New Roman" w:hAnsi="Times New Roman"/>
          <w:sz w:val="22"/>
          <w:szCs w:val="22"/>
        </w:rPr>
        <w:footnoteRef/>
      </w:r>
      <w:r w:rsidRPr="00604227">
        <w:rPr>
          <w:rFonts w:ascii="Times New Roman" w:hAnsi="Times New Roman"/>
          <w:sz w:val="22"/>
          <w:szCs w:val="22"/>
        </w:rPr>
        <w:t xml:space="preserve"> </w:t>
      </w:r>
      <w:hyperlink r:id="rId6" w:history="1">
        <w:r w:rsidRPr="00F90CFA">
          <w:rPr>
            <w:rStyle w:val="Hyperlink"/>
            <w:rFonts w:ascii="Times New Roman" w:hAnsi="Times New Roman"/>
          </w:rPr>
          <w:t>https://www.sofia.bg/en/low-emission-zones</w:t>
        </w:r>
      </w:hyperlink>
      <w:r w:rsidRPr="00F90CFA">
        <w:rPr>
          <w:rFonts w:ascii="Times New Roman" w:hAnsi="Times New Roman"/>
        </w:rPr>
        <w:t xml:space="preserve"> </w:t>
      </w:r>
    </w:p>
  </w:footnote>
  <w:footnote w:id="7">
    <w:p w14:paraId="4FE5F4CA" w14:textId="131161A6" w:rsidR="00834D89" w:rsidRPr="004316AA" w:rsidRDefault="00834D89" w:rsidP="00907E2C">
      <w:pPr>
        <w:pStyle w:val="FootnoteText"/>
        <w:jc w:val="both"/>
        <w:rPr>
          <w:rFonts w:ascii="Times New Roman" w:hAnsi="Times New Roman"/>
          <w:lang w:val="ru-RU"/>
        </w:rPr>
      </w:pPr>
      <w:r w:rsidRPr="0090264F">
        <w:rPr>
          <w:rStyle w:val="FootnoteReference"/>
          <w:rFonts w:ascii="Times New Roman" w:hAnsi="Times New Roman"/>
        </w:rPr>
        <w:footnoteRef/>
      </w:r>
      <w:r w:rsidRPr="0090264F">
        <w:rPr>
          <w:rFonts w:ascii="Times New Roman" w:hAnsi="Times New Roman"/>
        </w:rPr>
        <w:t xml:space="preserve"> З</w:t>
      </w:r>
      <w:r w:rsidRPr="0090264F">
        <w:rPr>
          <w:rFonts w:ascii="Times New Roman" w:hAnsi="Times New Roman"/>
          <w:bCs/>
          <w:bdr w:val="none" w:sz="0" w:space="0" w:color="auto" w:frame="1"/>
          <w:lang w:eastAsia="bg-BG"/>
        </w:rPr>
        <w:t xml:space="preserve">а данните от </w:t>
      </w:r>
      <w:r>
        <w:rPr>
          <w:rFonts w:ascii="Times New Roman" w:hAnsi="Times New Roman"/>
          <w:bCs/>
          <w:bdr w:val="none" w:sz="0" w:space="0" w:color="auto" w:frame="1"/>
          <w:lang w:eastAsia="bg-BG"/>
        </w:rPr>
        <w:t xml:space="preserve">2022 и </w:t>
      </w:r>
      <w:r w:rsidRPr="0090264F">
        <w:rPr>
          <w:rFonts w:ascii="Times New Roman" w:hAnsi="Times New Roman"/>
          <w:bCs/>
          <w:bdr w:val="none" w:sz="0" w:space="0" w:color="auto" w:frame="1"/>
          <w:lang w:eastAsia="bg-BG"/>
        </w:rPr>
        <w:t>202</w:t>
      </w:r>
      <w:r>
        <w:rPr>
          <w:rFonts w:ascii="Times New Roman" w:hAnsi="Times New Roman"/>
          <w:bCs/>
          <w:bdr w:val="none" w:sz="0" w:space="0" w:color="auto" w:frame="1"/>
          <w:lang w:eastAsia="bg-BG"/>
        </w:rPr>
        <w:t>3</w:t>
      </w:r>
      <w:r w:rsidRPr="0090264F">
        <w:rPr>
          <w:rFonts w:ascii="Times New Roman" w:hAnsi="Times New Roman"/>
          <w:bCs/>
          <w:bdr w:val="none" w:sz="0" w:space="0" w:color="auto" w:frame="1"/>
          <w:lang w:eastAsia="bg-BG"/>
        </w:rPr>
        <w:t>г.</w:t>
      </w:r>
      <w:r>
        <w:rPr>
          <w:rFonts w:ascii="Times New Roman" w:hAnsi="Times New Roman"/>
          <w:bCs/>
          <w:bdr w:val="none" w:sz="0" w:space="0" w:color="auto" w:frame="1"/>
          <w:lang w:eastAsia="bg-BG"/>
        </w:rPr>
        <w:t xml:space="preserve"> </w:t>
      </w:r>
      <w:r w:rsidRPr="0090264F">
        <w:rPr>
          <w:rFonts w:ascii="Times New Roman" w:hAnsi="Times New Roman"/>
          <w:bCs/>
          <w:bdr w:val="none" w:sz="0" w:space="0" w:color="auto" w:frame="1"/>
          <w:lang w:eastAsia="bg-BG"/>
        </w:rPr>
        <w:t>е приложена методика за определяне на превишенията на пределно допустимите стойности на ФПЧ</w:t>
      </w:r>
      <w:r w:rsidRPr="0090264F">
        <w:rPr>
          <w:rFonts w:ascii="Times New Roman" w:hAnsi="Times New Roman"/>
          <w:bCs/>
          <w:bdr w:val="none" w:sz="0" w:space="0" w:color="auto" w:frame="1"/>
          <w:vertAlign w:val="subscript"/>
          <w:lang w:eastAsia="bg-BG"/>
        </w:rPr>
        <w:t>10</w:t>
      </w:r>
      <w:r w:rsidRPr="0090264F">
        <w:rPr>
          <w:rFonts w:ascii="Times New Roman" w:hAnsi="Times New Roman"/>
          <w:bCs/>
          <w:bdr w:val="none" w:sz="0" w:space="0" w:color="auto" w:frame="1"/>
          <w:lang w:eastAsia="bg-BG"/>
        </w:rPr>
        <w:t>, които се дължат на емисии на природни източници – пустинен прах</w:t>
      </w:r>
      <w:r>
        <w:rPr>
          <w:rFonts w:ascii="Times New Roman" w:hAnsi="Times New Roman"/>
          <w:bCs/>
          <w:bdr w:val="none" w:sz="0" w:space="0" w:color="auto" w:frame="1"/>
          <w:lang w:eastAsia="bg-BG"/>
        </w:rPr>
        <w:t>. Методиката е</w:t>
      </w:r>
      <w:r w:rsidRPr="0090264F">
        <w:rPr>
          <w:rFonts w:ascii="Times New Roman" w:hAnsi="Times New Roman"/>
          <w:bCs/>
          <w:bdr w:val="none" w:sz="0" w:space="0" w:color="auto" w:frame="1"/>
          <w:lang w:eastAsia="bg-BG"/>
        </w:rPr>
        <w:t xml:space="preserve"> разработена от НИМХ </w:t>
      </w:r>
      <w:r>
        <w:rPr>
          <w:rFonts w:ascii="Times New Roman" w:hAnsi="Times New Roman"/>
          <w:bCs/>
          <w:bdr w:val="none" w:sz="0" w:space="0" w:color="auto" w:frame="1"/>
          <w:lang w:eastAsia="bg-BG"/>
        </w:rPr>
        <w:t xml:space="preserve">и приложена </w:t>
      </w:r>
      <w:r w:rsidRPr="0090264F">
        <w:rPr>
          <w:rFonts w:ascii="Times New Roman" w:hAnsi="Times New Roman"/>
          <w:bCs/>
          <w:bdr w:val="none" w:sz="0" w:space="0" w:color="auto" w:frame="1"/>
          <w:lang w:eastAsia="bg-BG"/>
        </w:rPr>
        <w:t xml:space="preserve">съгласно дадената възможност в </w:t>
      </w:r>
      <w:r w:rsidRPr="0090264F">
        <w:rPr>
          <w:rFonts w:ascii="Times New Roman" w:hAnsi="Times New Roman"/>
        </w:rPr>
        <w:t xml:space="preserve">чл.20 на Директива 2008/50/ЕО относно качеството на атмосферния въздух и за по-чист въздух за Европа, транспонирано в чл.32 на Наредба 12 от 15 юли 2010г. за норми за серен диоксид, азотен диоксид, фини </w:t>
      </w:r>
      <w:proofErr w:type="spellStart"/>
      <w:r w:rsidRPr="0090264F">
        <w:rPr>
          <w:rFonts w:ascii="Times New Roman" w:hAnsi="Times New Roman"/>
        </w:rPr>
        <w:t>прахови</w:t>
      </w:r>
      <w:proofErr w:type="spellEnd"/>
      <w:r w:rsidRPr="0090264F">
        <w:rPr>
          <w:rFonts w:ascii="Times New Roman" w:hAnsi="Times New Roman"/>
        </w:rPr>
        <w:t xml:space="preserve"> частици, олово, </w:t>
      </w:r>
      <w:proofErr w:type="spellStart"/>
      <w:r w:rsidRPr="0090264F">
        <w:rPr>
          <w:rFonts w:ascii="Times New Roman" w:hAnsi="Times New Roman"/>
        </w:rPr>
        <w:t>бензен</w:t>
      </w:r>
      <w:proofErr w:type="spellEnd"/>
      <w:r w:rsidRPr="0090264F">
        <w:rPr>
          <w:rFonts w:ascii="Times New Roman" w:hAnsi="Times New Roman"/>
        </w:rPr>
        <w:t>, въглероден оксид и озон в атмосферния въздух</w:t>
      </w:r>
      <w:r w:rsidR="00907E2C">
        <w:rPr>
          <w:rFonts w:ascii="Times New Roman" w:hAnsi="Times New Roman"/>
        </w:rPr>
        <w:t xml:space="preserve">. Съгласно разпоредбите, превишение което може да бъде отдадено на </w:t>
      </w:r>
      <w:r w:rsidR="00907E2C" w:rsidRPr="00907E2C">
        <w:rPr>
          <w:rFonts w:ascii="Times New Roman" w:hAnsi="Times New Roman"/>
        </w:rPr>
        <w:t>природни източници не се смята за превишаване за целите</w:t>
      </w:r>
      <w:r w:rsidR="00907E2C">
        <w:rPr>
          <w:rFonts w:ascii="Times New Roman" w:hAnsi="Times New Roman"/>
        </w:rPr>
        <w:t xml:space="preserve"> </w:t>
      </w:r>
      <w:r w:rsidR="00907E2C" w:rsidRPr="00907E2C">
        <w:rPr>
          <w:rFonts w:ascii="Times New Roman" w:hAnsi="Times New Roman"/>
        </w:rPr>
        <w:t>на директива</w:t>
      </w:r>
      <w:r w:rsidR="00907E2C">
        <w:rPr>
          <w:rFonts w:ascii="Times New Roman" w:hAnsi="Times New Roman"/>
        </w:rPr>
        <w:t xml:space="preserve"> и съответно националното законодателство</w:t>
      </w:r>
      <w:r w:rsidR="00907E2C" w:rsidRPr="00907E2C">
        <w:rPr>
          <w:rFonts w:ascii="Times New Roman" w:hAnsi="Times New Roman"/>
        </w:rPr>
        <w:t>.</w:t>
      </w:r>
    </w:p>
  </w:footnote>
  <w:footnote w:id="8">
    <w:p w14:paraId="46253141" w14:textId="13D0B3FB" w:rsidR="00834D89" w:rsidRPr="004A680A" w:rsidRDefault="00834D89">
      <w:pPr>
        <w:pStyle w:val="FootnoteText"/>
        <w:rPr>
          <w:rFonts w:ascii="Times New Roman" w:hAnsi="Times New Roman"/>
          <w:lang w:val="ru-RU"/>
        </w:rPr>
      </w:pPr>
      <w:r w:rsidRPr="006D2A97">
        <w:rPr>
          <w:rStyle w:val="FootnoteReference"/>
          <w:rFonts w:ascii="Times New Roman" w:hAnsi="Times New Roman"/>
          <w:sz w:val="22"/>
          <w:szCs w:val="22"/>
        </w:rPr>
        <w:footnoteRef/>
      </w:r>
      <w:r w:rsidRPr="006D2A97">
        <w:rPr>
          <w:rFonts w:ascii="Times New Roman" w:hAnsi="Times New Roman"/>
          <w:sz w:val="22"/>
          <w:szCs w:val="22"/>
        </w:rPr>
        <w:t xml:space="preserve"> </w:t>
      </w:r>
      <w:hyperlink r:id="rId7" w:history="1">
        <w:r w:rsidRPr="004A680A">
          <w:rPr>
            <w:rStyle w:val="Hyperlink"/>
            <w:rFonts w:ascii="Times New Roman" w:hAnsi="Times New Roman"/>
          </w:rPr>
          <w:t>https://ec.europa.eu/commission/presscorner/detail/bg/ip_22_6278</w:t>
        </w:r>
      </w:hyperlink>
      <w:r w:rsidRPr="004A680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3FB"/>
    <w:multiLevelType w:val="hybridMultilevel"/>
    <w:tmpl w:val="ED86B170"/>
    <w:lvl w:ilvl="0" w:tplc="6D8AD41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F26EA5"/>
    <w:multiLevelType w:val="multilevel"/>
    <w:tmpl w:val="7ECE01F0"/>
    <w:lvl w:ilvl="0">
      <w:start w:val="1"/>
      <w:numFmt w:val="decimal"/>
      <w:lvlText w:val="%1."/>
      <w:lvlJc w:val="left"/>
      <w:pPr>
        <w:ind w:left="450" w:hanging="450"/>
      </w:pPr>
      <w:rPr>
        <w:rFonts w:hint="default"/>
        <w:u w:val="single"/>
      </w:rPr>
    </w:lvl>
    <w:lvl w:ilvl="1">
      <w:start w:val="1"/>
      <w:numFmt w:val="decimal"/>
      <w:lvlText w:val="%1.%2."/>
      <w:lvlJc w:val="left"/>
      <w:pPr>
        <w:ind w:left="450" w:hanging="450"/>
      </w:pPr>
      <w:rPr>
        <w:rFonts w:ascii="Times New Roman" w:hAnsi="Times New Roman" w:cs="Times New Roman"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100C4F89"/>
    <w:multiLevelType w:val="hybridMultilevel"/>
    <w:tmpl w:val="F3E8CF1A"/>
    <w:lvl w:ilvl="0" w:tplc="370655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AEE5C02"/>
    <w:multiLevelType w:val="hybridMultilevel"/>
    <w:tmpl w:val="E92832D6"/>
    <w:lvl w:ilvl="0" w:tplc="04020001">
      <w:start w:val="1"/>
      <w:numFmt w:val="bullet"/>
      <w:lvlText w:val=""/>
      <w:lvlJc w:val="left"/>
      <w:pPr>
        <w:ind w:left="773" w:hanging="360"/>
      </w:pPr>
      <w:rPr>
        <w:rFonts w:ascii="Symbol" w:hAnsi="Symbol" w:hint="default"/>
      </w:rPr>
    </w:lvl>
    <w:lvl w:ilvl="1" w:tplc="04020003" w:tentative="1">
      <w:start w:val="1"/>
      <w:numFmt w:val="bullet"/>
      <w:lvlText w:val="o"/>
      <w:lvlJc w:val="left"/>
      <w:pPr>
        <w:ind w:left="1493" w:hanging="360"/>
      </w:pPr>
      <w:rPr>
        <w:rFonts w:ascii="Courier New" w:hAnsi="Courier New" w:cs="Courier New" w:hint="default"/>
      </w:rPr>
    </w:lvl>
    <w:lvl w:ilvl="2" w:tplc="04020005" w:tentative="1">
      <w:start w:val="1"/>
      <w:numFmt w:val="bullet"/>
      <w:lvlText w:val=""/>
      <w:lvlJc w:val="left"/>
      <w:pPr>
        <w:ind w:left="2213" w:hanging="360"/>
      </w:pPr>
      <w:rPr>
        <w:rFonts w:ascii="Wingdings" w:hAnsi="Wingdings" w:hint="default"/>
      </w:rPr>
    </w:lvl>
    <w:lvl w:ilvl="3" w:tplc="04020001" w:tentative="1">
      <w:start w:val="1"/>
      <w:numFmt w:val="bullet"/>
      <w:lvlText w:val=""/>
      <w:lvlJc w:val="left"/>
      <w:pPr>
        <w:ind w:left="2933" w:hanging="360"/>
      </w:pPr>
      <w:rPr>
        <w:rFonts w:ascii="Symbol" w:hAnsi="Symbol" w:hint="default"/>
      </w:rPr>
    </w:lvl>
    <w:lvl w:ilvl="4" w:tplc="04020003" w:tentative="1">
      <w:start w:val="1"/>
      <w:numFmt w:val="bullet"/>
      <w:lvlText w:val="o"/>
      <w:lvlJc w:val="left"/>
      <w:pPr>
        <w:ind w:left="3653" w:hanging="360"/>
      </w:pPr>
      <w:rPr>
        <w:rFonts w:ascii="Courier New" w:hAnsi="Courier New" w:cs="Courier New" w:hint="default"/>
      </w:rPr>
    </w:lvl>
    <w:lvl w:ilvl="5" w:tplc="04020005" w:tentative="1">
      <w:start w:val="1"/>
      <w:numFmt w:val="bullet"/>
      <w:lvlText w:val=""/>
      <w:lvlJc w:val="left"/>
      <w:pPr>
        <w:ind w:left="4373" w:hanging="360"/>
      </w:pPr>
      <w:rPr>
        <w:rFonts w:ascii="Wingdings" w:hAnsi="Wingdings" w:hint="default"/>
      </w:rPr>
    </w:lvl>
    <w:lvl w:ilvl="6" w:tplc="04020001" w:tentative="1">
      <w:start w:val="1"/>
      <w:numFmt w:val="bullet"/>
      <w:lvlText w:val=""/>
      <w:lvlJc w:val="left"/>
      <w:pPr>
        <w:ind w:left="5093" w:hanging="360"/>
      </w:pPr>
      <w:rPr>
        <w:rFonts w:ascii="Symbol" w:hAnsi="Symbol" w:hint="default"/>
      </w:rPr>
    </w:lvl>
    <w:lvl w:ilvl="7" w:tplc="04020003" w:tentative="1">
      <w:start w:val="1"/>
      <w:numFmt w:val="bullet"/>
      <w:lvlText w:val="o"/>
      <w:lvlJc w:val="left"/>
      <w:pPr>
        <w:ind w:left="5813" w:hanging="360"/>
      </w:pPr>
      <w:rPr>
        <w:rFonts w:ascii="Courier New" w:hAnsi="Courier New" w:cs="Courier New" w:hint="default"/>
      </w:rPr>
    </w:lvl>
    <w:lvl w:ilvl="8" w:tplc="04020005" w:tentative="1">
      <w:start w:val="1"/>
      <w:numFmt w:val="bullet"/>
      <w:lvlText w:val=""/>
      <w:lvlJc w:val="left"/>
      <w:pPr>
        <w:ind w:left="6533" w:hanging="360"/>
      </w:pPr>
      <w:rPr>
        <w:rFonts w:ascii="Wingdings" w:hAnsi="Wingdings" w:hint="default"/>
      </w:rPr>
    </w:lvl>
  </w:abstractNum>
  <w:abstractNum w:abstractNumId="4" w15:restartNumberingAfterBreak="0">
    <w:nsid w:val="27936827"/>
    <w:multiLevelType w:val="hybridMultilevel"/>
    <w:tmpl w:val="6F30E4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48C1EB7"/>
    <w:multiLevelType w:val="hybridMultilevel"/>
    <w:tmpl w:val="F948F06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3CC1787B"/>
    <w:multiLevelType w:val="multilevel"/>
    <w:tmpl w:val="59DA5DE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2DE019C"/>
    <w:multiLevelType w:val="hybridMultilevel"/>
    <w:tmpl w:val="D6BC6356"/>
    <w:lvl w:ilvl="0" w:tplc="655623CE">
      <w:start w:val="1"/>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8" w15:restartNumberingAfterBreak="0">
    <w:nsid w:val="44203EE1"/>
    <w:multiLevelType w:val="hybridMultilevel"/>
    <w:tmpl w:val="475889AA"/>
    <w:lvl w:ilvl="0" w:tplc="0436D84A">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51875"/>
    <w:multiLevelType w:val="hybridMultilevel"/>
    <w:tmpl w:val="51ACA04E"/>
    <w:lvl w:ilvl="0" w:tplc="E9D04F10">
      <w:numFmt w:val="bullet"/>
      <w:lvlText w:val="-"/>
      <w:lvlJc w:val="left"/>
      <w:pPr>
        <w:ind w:left="1854" w:hanging="360"/>
      </w:pPr>
      <w:rPr>
        <w:rFonts w:ascii="Calibri" w:eastAsia="Calibri" w:hAnsi="Calibri"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5A5009F5"/>
    <w:multiLevelType w:val="hybridMultilevel"/>
    <w:tmpl w:val="A6C20036"/>
    <w:lvl w:ilvl="0" w:tplc="968A934E">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EAF1CD8"/>
    <w:multiLevelType w:val="hybridMultilevel"/>
    <w:tmpl w:val="0ED6AEDC"/>
    <w:lvl w:ilvl="0" w:tplc="A2F879DA">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B0451CA"/>
    <w:multiLevelType w:val="hybridMultilevel"/>
    <w:tmpl w:val="F37429B2"/>
    <w:lvl w:ilvl="0" w:tplc="04020001">
      <w:start w:val="1"/>
      <w:numFmt w:val="bullet"/>
      <w:lvlText w:val=""/>
      <w:lvlJc w:val="left"/>
      <w:pPr>
        <w:ind w:left="2214" w:hanging="360"/>
      </w:pPr>
      <w:rPr>
        <w:rFonts w:ascii="Symbol" w:hAnsi="Symbol" w:hint="default"/>
      </w:rPr>
    </w:lvl>
    <w:lvl w:ilvl="1" w:tplc="04020003" w:tentative="1">
      <w:start w:val="1"/>
      <w:numFmt w:val="bullet"/>
      <w:lvlText w:val="o"/>
      <w:lvlJc w:val="left"/>
      <w:pPr>
        <w:ind w:left="2934" w:hanging="360"/>
      </w:pPr>
      <w:rPr>
        <w:rFonts w:ascii="Courier New" w:hAnsi="Courier New" w:cs="Courier New" w:hint="default"/>
      </w:rPr>
    </w:lvl>
    <w:lvl w:ilvl="2" w:tplc="04020005" w:tentative="1">
      <w:start w:val="1"/>
      <w:numFmt w:val="bullet"/>
      <w:lvlText w:val=""/>
      <w:lvlJc w:val="left"/>
      <w:pPr>
        <w:ind w:left="3654" w:hanging="360"/>
      </w:pPr>
      <w:rPr>
        <w:rFonts w:ascii="Wingdings" w:hAnsi="Wingdings" w:hint="default"/>
      </w:rPr>
    </w:lvl>
    <w:lvl w:ilvl="3" w:tplc="04020001" w:tentative="1">
      <w:start w:val="1"/>
      <w:numFmt w:val="bullet"/>
      <w:lvlText w:val=""/>
      <w:lvlJc w:val="left"/>
      <w:pPr>
        <w:ind w:left="4374" w:hanging="360"/>
      </w:pPr>
      <w:rPr>
        <w:rFonts w:ascii="Symbol" w:hAnsi="Symbol" w:hint="default"/>
      </w:rPr>
    </w:lvl>
    <w:lvl w:ilvl="4" w:tplc="04020003" w:tentative="1">
      <w:start w:val="1"/>
      <w:numFmt w:val="bullet"/>
      <w:lvlText w:val="o"/>
      <w:lvlJc w:val="left"/>
      <w:pPr>
        <w:ind w:left="5094" w:hanging="360"/>
      </w:pPr>
      <w:rPr>
        <w:rFonts w:ascii="Courier New" w:hAnsi="Courier New" w:cs="Courier New" w:hint="default"/>
      </w:rPr>
    </w:lvl>
    <w:lvl w:ilvl="5" w:tplc="04020005" w:tentative="1">
      <w:start w:val="1"/>
      <w:numFmt w:val="bullet"/>
      <w:lvlText w:val=""/>
      <w:lvlJc w:val="left"/>
      <w:pPr>
        <w:ind w:left="5814" w:hanging="360"/>
      </w:pPr>
      <w:rPr>
        <w:rFonts w:ascii="Wingdings" w:hAnsi="Wingdings" w:hint="default"/>
      </w:rPr>
    </w:lvl>
    <w:lvl w:ilvl="6" w:tplc="04020001" w:tentative="1">
      <w:start w:val="1"/>
      <w:numFmt w:val="bullet"/>
      <w:lvlText w:val=""/>
      <w:lvlJc w:val="left"/>
      <w:pPr>
        <w:ind w:left="6534" w:hanging="360"/>
      </w:pPr>
      <w:rPr>
        <w:rFonts w:ascii="Symbol" w:hAnsi="Symbol" w:hint="default"/>
      </w:rPr>
    </w:lvl>
    <w:lvl w:ilvl="7" w:tplc="04020003" w:tentative="1">
      <w:start w:val="1"/>
      <w:numFmt w:val="bullet"/>
      <w:lvlText w:val="o"/>
      <w:lvlJc w:val="left"/>
      <w:pPr>
        <w:ind w:left="7254" w:hanging="360"/>
      </w:pPr>
      <w:rPr>
        <w:rFonts w:ascii="Courier New" w:hAnsi="Courier New" w:cs="Courier New" w:hint="default"/>
      </w:rPr>
    </w:lvl>
    <w:lvl w:ilvl="8" w:tplc="04020005" w:tentative="1">
      <w:start w:val="1"/>
      <w:numFmt w:val="bullet"/>
      <w:lvlText w:val=""/>
      <w:lvlJc w:val="left"/>
      <w:pPr>
        <w:ind w:left="7974" w:hanging="360"/>
      </w:pPr>
      <w:rPr>
        <w:rFonts w:ascii="Wingdings" w:hAnsi="Wingdings" w:hint="default"/>
      </w:rPr>
    </w:lvl>
  </w:abstractNum>
  <w:abstractNum w:abstractNumId="13" w15:restartNumberingAfterBreak="0">
    <w:nsid w:val="71674A93"/>
    <w:multiLevelType w:val="hybridMultilevel"/>
    <w:tmpl w:val="DC46E4FC"/>
    <w:lvl w:ilvl="0" w:tplc="65F6214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7206450"/>
    <w:multiLevelType w:val="hybridMultilevel"/>
    <w:tmpl w:val="88A837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9"/>
  </w:num>
  <w:num w:numId="3">
    <w:abstractNumId w:val="13"/>
  </w:num>
  <w:num w:numId="4">
    <w:abstractNumId w:val="14"/>
  </w:num>
  <w:num w:numId="5">
    <w:abstractNumId w:val="0"/>
  </w:num>
  <w:num w:numId="6">
    <w:abstractNumId w:val="11"/>
  </w:num>
  <w:num w:numId="7">
    <w:abstractNumId w:val="12"/>
  </w:num>
  <w:num w:numId="8">
    <w:abstractNumId w:val="6"/>
  </w:num>
  <w:num w:numId="9">
    <w:abstractNumId w:val="1"/>
  </w:num>
  <w:num w:numId="10">
    <w:abstractNumId w:val="7"/>
  </w:num>
  <w:num w:numId="11">
    <w:abstractNumId w:val="5"/>
  </w:num>
  <w:num w:numId="12">
    <w:abstractNumId w:val="4"/>
  </w:num>
  <w:num w:numId="13">
    <w:abstractNumId w:val="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F"/>
    <w:rsid w:val="00002956"/>
    <w:rsid w:val="0000347B"/>
    <w:rsid w:val="0000517B"/>
    <w:rsid w:val="00005D5C"/>
    <w:rsid w:val="00007AAF"/>
    <w:rsid w:val="0001341A"/>
    <w:rsid w:val="000151BD"/>
    <w:rsid w:val="00015361"/>
    <w:rsid w:val="0001565D"/>
    <w:rsid w:val="0002026A"/>
    <w:rsid w:val="000206A4"/>
    <w:rsid w:val="00020732"/>
    <w:rsid w:val="00022DB2"/>
    <w:rsid w:val="000237FA"/>
    <w:rsid w:val="00023927"/>
    <w:rsid w:val="00025ABB"/>
    <w:rsid w:val="00030B2E"/>
    <w:rsid w:val="00036303"/>
    <w:rsid w:val="000364C2"/>
    <w:rsid w:val="00036B3F"/>
    <w:rsid w:val="00036B48"/>
    <w:rsid w:val="00037803"/>
    <w:rsid w:val="00043B57"/>
    <w:rsid w:val="00051EF5"/>
    <w:rsid w:val="000556A8"/>
    <w:rsid w:val="00055798"/>
    <w:rsid w:val="000557B3"/>
    <w:rsid w:val="00055A7F"/>
    <w:rsid w:val="00061E7C"/>
    <w:rsid w:val="00062507"/>
    <w:rsid w:val="00063721"/>
    <w:rsid w:val="00064210"/>
    <w:rsid w:val="00064386"/>
    <w:rsid w:val="00064CB5"/>
    <w:rsid w:val="0006571B"/>
    <w:rsid w:val="000706ED"/>
    <w:rsid w:val="00075B6E"/>
    <w:rsid w:val="0007617F"/>
    <w:rsid w:val="00083C1F"/>
    <w:rsid w:val="0008538B"/>
    <w:rsid w:val="00085960"/>
    <w:rsid w:val="0008773D"/>
    <w:rsid w:val="00091181"/>
    <w:rsid w:val="00095731"/>
    <w:rsid w:val="000A04D1"/>
    <w:rsid w:val="000A1E0A"/>
    <w:rsid w:val="000A56C9"/>
    <w:rsid w:val="000B044D"/>
    <w:rsid w:val="000B4E71"/>
    <w:rsid w:val="000B5B8E"/>
    <w:rsid w:val="000C0BD7"/>
    <w:rsid w:val="000C0F90"/>
    <w:rsid w:val="000C18EB"/>
    <w:rsid w:val="000C1C75"/>
    <w:rsid w:val="000D0E17"/>
    <w:rsid w:val="000D1F67"/>
    <w:rsid w:val="000D5D37"/>
    <w:rsid w:val="000D66C3"/>
    <w:rsid w:val="000E2A49"/>
    <w:rsid w:val="000E2D74"/>
    <w:rsid w:val="000E3140"/>
    <w:rsid w:val="000E40F7"/>
    <w:rsid w:val="000E5F8C"/>
    <w:rsid w:val="000E62D5"/>
    <w:rsid w:val="000F03B9"/>
    <w:rsid w:val="000F133A"/>
    <w:rsid w:val="000F1FAD"/>
    <w:rsid w:val="000F38A4"/>
    <w:rsid w:val="000F38F2"/>
    <w:rsid w:val="000F4119"/>
    <w:rsid w:val="000F6425"/>
    <w:rsid w:val="001003FE"/>
    <w:rsid w:val="00100B28"/>
    <w:rsid w:val="00101736"/>
    <w:rsid w:val="00102242"/>
    <w:rsid w:val="0010272C"/>
    <w:rsid w:val="001066F5"/>
    <w:rsid w:val="00106EB2"/>
    <w:rsid w:val="001077D7"/>
    <w:rsid w:val="00110907"/>
    <w:rsid w:val="00112588"/>
    <w:rsid w:val="00112A28"/>
    <w:rsid w:val="00113122"/>
    <w:rsid w:val="00114F6E"/>
    <w:rsid w:val="00120169"/>
    <w:rsid w:val="001237A5"/>
    <w:rsid w:val="00123C75"/>
    <w:rsid w:val="00123D4E"/>
    <w:rsid w:val="001268D9"/>
    <w:rsid w:val="00127074"/>
    <w:rsid w:val="0012759E"/>
    <w:rsid w:val="001276C5"/>
    <w:rsid w:val="00130252"/>
    <w:rsid w:val="001309CC"/>
    <w:rsid w:val="00131555"/>
    <w:rsid w:val="001334F3"/>
    <w:rsid w:val="00133555"/>
    <w:rsid w:val="001338C0"/>
    <w:rsid w:val="00134A04"/>
    <w:rsid w:val="00137E05"/>
    <w:rsid w:val="00140218"/>
    <w:rsid w:val="00140355"/>
    <w:rsid w:val="00140DFD"/>
    <w:rsid w:val="00141D0E"/>
    <w:rsid w:val="001434EA"/>
    <w:rsid w:val="0014712E"/>
    <w:rsid w:val="001472BC"/>
    <w:rsid w:val="00147C37"/>
    <w:rsid w:val="00147F4C"/>
    <w:rsid w:val="00150FB6"/>
    <w:rsid w:val="001536EF"/>
    <w:rsid w:val="00154602"/>
    <w:rsid w:val="00154A9B"/>
    <w:rsid w:val="00156028"/>
    <w:rsid w:val="001561C6"/>
    <w:rsid w:val="00156FC1"/>
    <w:rsid w:val="00157502"/>
    <w:rsid w:val="001606B9"/>
    <w:rsid w:val="00160C0E"/>
    <w:rsid w:val="001618A4"/>
    <w:rsid w:val="001627CA"/>
    <w:rsid w:val="00162C5C"/>
    <w:rsid w:val="00162CCD"/>
    <w:rsid w:val="00162E94"/>
    <w:rsid w:val="001637F7"/>
    <w:rsid w:val="00163B14"/>
    <w:rsid w:val="0016405F"/>
    <w:rsid w:val="001648FE"/>
    <w:rsid w:val="001649AD"/>
    <w:rsid w:val="00165AD8"/>
    <w:rsid w:val="00165D36"/>
    <w:rsid w:val="001672ED"/>
    <w:rsid w:val="0017179F"/>
    <w:rsid w:val="00172538"/>
    <w:rsid w:val="00174EEA"/>
    <w:rsid w:val="00177A6E"/>
    <w:rsid w:val="00182B6E"/>
    <w:rsid w:val="00184604"/>
    <w:rsid w:val="00184FE0"/>
    <w:rsid w:val="00185559"/>
    <w:rsid w:val="00186925"/>
    <w:rsid w:val="001911DC"/>
    <w:rsid w:val="0019169B"/>
    <w:rsid w:val="00191FC0"/>
    <w:rsid w:val="0019223C"/>
    <w:rsid w:val="0019378C"/>
    <w:rsid w:val="00193AEF"/>
    <w:rsid w:val="001944DF"/>
    <w:rsid w:val="00194BCD"/>
    <w:rsid w:val="001951DE"/>
    <w:rsid w:val="0019546C"/>
    <w:rsid w:val="001970BC"/>
    <w:rsid w:val="001A1711"/>
    <w:rsid w:val="001A2D3C"/>
    <w:rsid w:val="001A3998"/>
    <w:rsid w:val="001A3F61"/>
    <w:rsid w:val="001A3F66"/>
    <w:rsid w:val="001A449F"/>
    <w:rsid w:val="001A4774"/>
    <w:rsid w:val="001A6CFB"/>
    <w:rsid w:val="001A6FC9"/>
    <w:rsid w:val="001A7597"/>
    <w:rsid w:val="001B0041"/>
    <w:rsid w:val="001B1182"/>
    <w:rsid w:val="001B23E9"/>
    <w:rsid w:val="001B33E5"/>
    <w:rsid w:val="001B3C02"/>
    <w:rsid w:val="001B4D8A"/>
    <w:rsid w:val="001C2DC7"/>
    <w:rsid w:val="001C2F05"/>
    <w:rsid w:val="001C365A"/>
    <w:rsid w:val="001C4437"/>
    <w:rsid w:val="001C4445"/>
    <w:rsid w:val="001C64F0"/>
    <w:rsid w:val="001C6EB5"/>
    <w:rsid w:val="001C79EA"/>
    <w:rsid w:val="001D03BC"/>
    <w:rsid w:val="001D2699"/>
    <w:rsid w:val="001D3CA1"/>
    <w:rsid w:val="001D49AB"/>
    <w:rsid w:val="001D4E73"/>
    <w:rsid w:val="001D692C"/>
    <w:rsid w:val="001D7C9F"/>
    <w:rsid w:val="001E0873"/>
    <w:rsid w:val="001E0975"/>
    <w:rsid w:val="001E3FB0"/>
    <w:rsid w:val="001E44B5"/>
    <w:rsid w:val="001E5271"/>
    <w:rsid w:val="001E5789"/>
    <w:rsid w:val="001E6F81"/>
    <w:rsid w:val="001E7C45"/>
    <w:rsid w:val="001F088F"/>
    <w:rsid w:val="001F2C42"/>
    <w:rsid w:val="001F3111"/>
    <w:rsid w:val="001F4159"/>
    <w:rsid w:val="001F7B03"/>
    <w:rsid w:val="0020009B"/>
    <w:rsid w:val="002000E4"/>
    <w:rsid w:val="00201B4F"/>
    <w:rsid w:val="00202A86"/>
    <w:rsid w:val="002037EF"/>
    <w:rsid w:val="002051E6"/>
    <w:rsid w:val="002053A9"/>
    <w:rsid w:val="002053D1"/>
    <w:rsid w:val="00207228"/>
    <w:rsid w:val="00210165"/>
    <w:rsid w:val="002104E2"/>
    <w:rsid w:val="00211CFE"/>
    <w:rsid w:val="00212087"/>
    <w:rsid w:val="002135D9"/>
    <w:rsid w:val="0021426B"/>
    <w:rsid w:val="00214457"/>
    <w:rsid w:val="00215DEA"/>
    <w:rsid w:val="0022219E"/>
    <w:rsid w:val="00224AB7"/>
    <w:rsid w:val="002251F4"/>
    <w:rsid w:val="00225491"/>
    <w:rsid w:val="00225D03"/>
    <w:rsid w:val="00227E7A"/>
    <w:rsid w:val="0023022A"/>
    <w:rsid w:val="002315C5"/>
    <w:rsid w:val="00233AC2"/>
    <w:rsid w:val="002345E3"/>
    <w:rsid w:val="002355FC"/>
    <w:rsid w:val="002375F4"/>
    <w:rsid w:val="0024164D"/>
    <w:rsid w:val="00241942"/>
    <w:rsid w:val="002426D2"/>
    <w:rsid w:val="002442E4"/>
    <w:rsid w:val="00247478"/>
    <w:rsid w:val="00247D49"/>
    <w:rsid w:val="00250946"/>
    <w:rsid w:val="00250C50"/>
    <w:rsid w:val="00250DB6"/>
    <w:rsid w:val="002515E6"/>
    <w:rsid w:val="0025287A"/>
    <w:rsid w:val="00252B6B"/>
    <w:rsid w:val="00253896"/>
    <w:rsid w:val="00253D23"/>
    <w:rsid w:val="00254472"/>
    <w:rsid w:val="00260FC9"/>
    <w:rsid w:val="00263E05"/>
    <w:rsid w:val="00264065"/>
    <w:rsid w:val="00264518"/>
    <w:rsid w:val="0026742A"/>
    <w:rsid w:val="0026742E"/>
    <w:rsid w:val="00267D7C"/>
    <w:rsid w:val="0027002A"/>
    <w:rsid w:val="0027025D"/>
    <w:rsid w:val="00270862"/>
    <w:rsid w:val="00270E84"/>
    <w:rsid w:val="00271C6B"/>
    <w:rsid w:val="002737EB"/>
    <w:rsid w:val="0027484F"/>
    <w:rsid w:val="00275AFA"/>
    <w:rsid w:val="00281078"/>
    <w:rsid w:val="00282787"/>
    <w:rsid w:val="002831C0"/>
    <w:rsid w:val="002925CF"/>
    <w:rsid w:val="00292A26"/>
    <w:rsid w:val="00294763"/>
    <w:rsid w:val="00295757"/>
    <w:rsid w:val="002968D4"/>
    <w:rsid w:val="002A1113"/>
    <w:rsid w:val="002A2883"/>
    <w:rsid w:val="002A341B"/>
    <w:rsid w:val="002A4128"/>
    <w:rsid w:val="002A436D"/>
    <w:rsid w:val="002A4E41"/>
    <w:rsid w:val="002A5AD0"/>
    <w:rsid w:val="002A5E3C"/>
    <w:rsid w:val="002A6180"/>
    <w:rsid w:val="002A6D30"/>
    <w:rsid w:val="002A7CB6"/>
    <w:rsid w:val="002B0DE2"/>
    <w:rsid w:val="002B204B"/>
    <w:rsid w:val="002B25F8"/>
    <w:rsid w:val="002B43ED"/>
    <w:rsid w:val="002B4806"/>
    <w:rsid w:val="002B69FD"/>
    <w:rsid w:val="002C1D34"/>
    <w:rsid w:val="002C4648"/>
    <w:rsid w:val="002C503C"/>
    <w:rsid w:val="002C77EB"/>
    <w:rsid w:val="002C7964"/>
    <w:rsid w:val="002C7C3D"/>
    <w:rsid w:val="002D003E"/>
    <w:rsid w:val="002D0645"/>
    <w:rsid w:val="002D0DF9"/>
    <w:rsid w:val="002D262C"/>
    <w:rsid w:val="002D3085"/>
    <w:rsid w:val="002D34C4"/>
    <w:rsid w:val="002D3F01"/>
    <w:rsid w:val="002D7472"/>
    <w:rsid w:val="002D78DA"/>
    <w:rsid w:val="002E01EA"/>
    <w:rsid w:val="002E1A10"/>
    <w:rsid w:val="002E2A3B"/>
    <w:rsid w:val="002E3646"/>
    <w:rsid w:val="002E57C8"/>
    <w:rsid w:val="002E7FD6"/>
    <w:rsid w:val="002F251B"/>
    <w:rsid w:val="002F2924"/>
    <w:rsid w:val="002F2B0E"/>
    <w:rsid w:val="002F2CC7"/>
    <w:rsid w:val="002F4228"/>
    <w:rsid w:val="002F5142"/>
    <w:rsid w:val="002F5302"/>
    <w:rsid w:val="002F7201"/>
    <w:rsid w:val="002F77F6"/>
    <w:rsid w:val="00301875"/>
    <w:rsid w:val="00302E84"/>
    <w:rsid w:val="00303421"/>
    <w:rsid w:val="00303C80"/>
    <w:rsid w:val="00315ADE"/>
    <w:rsid w:val="00316888"/>
    <w:rsid w:val="003209AA"/>
    <w:rsid w:val="0032336C"/>
    <w:rsid w:val="00323763"/>
    <w:rsid w:val="00323B2C"/>
    <w:rsid w:val="003262E4"/>
    <w:rsid w:val="00330196"/>
    <w:rsid w:val="003304BE"/>
    <w:rsid w:val="00331CDC"/>
    <w:rsid w:val="00333757"/>
    <w:rsid w:val="003356FE"/>
    <w:rsid w:val="00335D11"/>
    <w:rsid w:val="00340AAA"/>
    <w:rsid w:val="003421AA"/>
    <w:rsid w:val="00344A2F"/>
    <w:rsid w:val="00344DBF"/>
    <w:rsid w:val="00345334"/>
    <w:rsid w:val="0035264C"/>
    <w:rsid w:val="00353A27"/>
    <w:rsid w:val="00355EF2"/>
    <w:rsid w:val="00356C3B"/>
    <w:rsid w:val="003573E8"/>
    <w:rsid w:val="003578C8"/>
    <w:rsid w:val="003643AD"/>
    <w:rsid w:val="00365AAA"/>
    <w:rsid w:val="00365B4C"/>
    <w:rsid w:val="00365D51"/>
    <w:rsid w:val="0036662D"/>
    <w:rsid w:val="00370344"/>
    <w:rsid w:val="003718C8"/>
    <w:rsid w:val="00371EE3"/>
    <w:rsid w:val="003744A8"/>
    <w:rsid w:val="0037520C"/>
    <w:rsid w:val="00375BC0"/>
    <w:rsid w:val="00377AEA"/>
    <w:rsid w:val="00377F97"/>
    <w:rsid w:val="00381C7D"/>
    <w:rsid w:val="00382D28"/>
    <w:rsid w:val="003852B8"/>
    <w:rsid w:val="003853F0"/>
    <w:rsid w:val="003879DD"/>
    <w:rsid w:val="00391136"/>
    <w:rsid w:val="00391E9A"/>
    <w:rsid w:val="003953F9"/>
    <w:rsid w:val="003960AF"/>
    <w:rsid w:val="00397A44"/>
    <w:rsid w:val="003A0E4C"/>
    <w:rsid w:val="003A113A"/>
    <w:rsid w:val="003A2FC7"/>
    <w:rsid w:val="003A5A71"/>
    <w:rsid w:val="003A7A33"/>
    <w:rsid w:val="003A7E1D"/>
    <w:rsid w:val="003A7ED3"/>
    <w:rsid w:val="003B1AF4"/>
    <w:rsid w:val="003B1B3F"/>
    <w:rsid w:val="003B453C"/>
    <w:rsid w:val="003B52C6"/>
    <w:rsid w:val="003B6B3F"/>
    <w:rsid w:val="003B7485"/>
    <w:rsid w:val="003C07FE"/>
    <w:rsid w:val="003D1529"/>
    <w:rsid w:val="003D1A63"/>
    <w:rsid w:val="003D411C"/>
    <w:rsid w:val="003D4330"/>
    <w:rsid w:val="003D4A76"/>
    <w:rsid w:val="003D7F32"/>
    <w:rsid w:val="003F0836"/>
    <w:rsid w:val="003F0B05"/>
    <w:rsid w:val="003F23C3"/>
    <w:rsid w:val="003F3FE4"/>
    <w:rsid w:val="003F6C80"/>
    <w:rsid w:val="0040157C"/>
    <w:rsid w:val="00401C62"/>
    <w:rsid w:val="00403133"/>
    <w:rsid w:val="0040642D"/>
    <w:rsid w:val="00410BF4"/>
    <w:rsid w:val="00410ECC"/>
    <w:rsid w:val="00411102"/>
    <w:rsid w:val="004125F4"/>
    <w:rsid w:val="0041540E"/>
    <w:rsid w:val="00416C83"/>
    <w:rsid w:val="00420527"/>
    <w:rsid w:val="00420F42"/>
    <w:rsid w:val="0042130C"/>
    <w:rsid w:val="00421798"/>
    <w:rsid w:val="004243C0"/>
    <w:rsid w:val="00425464"/>
    <w:rsid w:val="00426067"/>
    <w:rsid w:val="0042681E"/>
    <w:rsid w:val="0042697A"/>
    <w:rsid w:val="00426D7C"/>
    <w:rsid w:val="00427703"/>
    <w:rsid w:val="004310D6"/>
    <w:rsid w:val="004316AA"/>
    <w:rsid w:val="004378A8"/>
    <w:rsid w:val="004436DF"/>
    <w:rsid w:val="004510FF"/>
    <w:rsid w:val="00452DF1"/>
    <w:rsid w:val="00454377"/>
    <w:rsid w:val="00454C31"/>
    <w:rsid w:val="0045792D"/>
    <w:rsid w:val="00460619"/>
    <w:rsid w:val="004626D6"/>
    <w:rsid w:val="004636E7"/>
    <w:rsid w:val="00464075"/>
    <w:rsid w:val="00464B98"/>
    <w:rsid w:val="004657C6"/>
    <w:rsid w:val="004663E0"/>
    <w:rsid w:val="0047050E"/>
    <w:rsid w:val="00470DFC"/>
    <w:rsid w:val="004710D3"/>
    <w:rsid w:val="00471F8F"/>
    <w:rsid w:val="00472CFB"/>
    <w:rsid w:val="004741F7"/>
    <w:rsid w:val="0048079F"/>
    <w:rsid w:val="00482091"/>
    <w:rsid w:val="004822FF"/>
    <w:rsid w:val="0048313F"/>
    <w:rsid w:val="004833BC"/>
    <w:rsid w:val="004843B9"/>
    <w:rsid w:val="00485E24"/>
    <w:rsid w:val="004907CE"/>
    <w:rsid w:val="00492363"/>
    <w:rsid w:val="004934E8"/>
    <w:rsid w:val="004961EC"/>
    <w:rsid w:val="00496C0D"/>
    <w:rsid w:val="004A0471"/>
    <w:rsid w:val="004A063B"/>
    <w:rsid w:val="004A06E9"/>
    <w:rsid w:val="004A16D1"/>
    <w:rsid w:val="004A223B"/>
    <w:rsid w:val="004A59D3"/>
    <w:rsid w:val="004A60AC"/>
    <w:rsid w:val="004A680A"/>
    <w:rsid w:val="004B0007"/>
    <w:rsid w:val="004B5DF6"/>
    <w:rsid w:val="004B7D50"/>
    <w:rsid w:val="004B7DC8"/>
    <w:rsid w:val="004C343E"/>
    <w:rsid w:val="004C497B"/>
    <w:rsid w:val="004C53A1"/>
    <w:rsid w:val="004C5C8D"/>
    <w:rsid w:val="004C5DBF"/>
    <w:rsid w:val="004C6FE0"/>
    <w:rsid w:val="004C7D9F"/>
    <w:rsid w:val="004D06F5"/>
    <w:rsid w:val="004D11A4"/>
    <w:rsid w:val="004D2676"/>
    <w:rsid w:val="004D2F91"/>
    <w:rsid w:val="004D4140"/>
    <w:rsid w:val="004D4D76"/>
    <w:rsid w:val="004D651A"/>
    <w:rsid w:val="004E0B71"/>
    <w:rsid w:val="004E2272"/>
    <w:rsid w:val="004E369A"/>
    <w:rsid w:val="004E5378"/>
    <w:rsid w:val="004E5EB7"/>
    <w:rsid w:val="004E5F95"/>
    <w:rsid w:val="004E69E8"/>
    <w:rsid w:val="004F19C0"/>
    <w:rsid w:val="004F1BD3"/>
    <w:rsid w:val="004F7A56"/>
    <w:rsid w:val="005026D7"/>
    <w:rsid w:val="00502827"/>
    <w:rsid w:val="00502FC7"/>
    <w:rsid w:val="00506B58"/>
    <w:rsid w:val="00506F4F"/>
    <w:rsid w:val="00511437"/>
    <w:rsid w:val="00513B68"/>
    <w:rsid w:val="00513CEB"/>
    <w:rsid w:val="00515096"/>
    <w:rsid w:val="00516F0B"/>
    <w:rsid w:val="0051710E"/>
    <w:rsid w:val="005174AC"/>
    <w:rsid w:val="005200C5"/>
    <w:rsid w:val="0052127F"/>
    <w:rsid w:val="0052242B"/>
    <w:rsid w:val="0052312D"/>
    <w:rsid w:val="00523417"/>
    <w:rsid w:val="00533B08"/>
    <w:rsid w:val="00534770"/>
    <w:rsid w:val="00535558"/>
    <w:rsid w:val="00536034"/>
    <w:rsid w:val="00536392"/>
    <w:rsid w:val="00537107"/>
    <w:rsid w:val="0053714B"/>
    <w:rsid w:val="00537A85"/>
    <w:rsid w:val="00541ECA"/>
    <w:rsid w:val="00543E8A"/>
    <w:rsid w:val="00544DBE"/>
    <w:rsid w:val="005471A3"/>
    <w:rsid w:val="005476E9"/>
    <w:rsid w:val="005522E2"/>
    <w:rsid w:val="00554E94"/>
    <w:rsid w:val="005563F6"/>
    <w:rsid w:val="00556C76"/>
    <w:rsid w:val="00560A3C"/>
    <w:rsid w:val="005626E6"/>
    <w:rsid w:val="00563984"/>
    <w:rsid w:val="00563B0C"/>
    <w:rsid w:val="00563DAE"/>
    <w:rsid w:val="00563F44"/>
    <w:rsid w:val="0056419D"/>
    <w:rsid w:val="005651CC"/>
    <w:rsid w:val="00565F4C"/>
    <w:rsid w:val="00567389"/>
    <w:rsid w:val="005676FC"/>
    <w:rsid w:val="00567E7D"/>
    <w:rsid w:val="00570306"/>
    <w:rsid w:val="00571CF2"/>
    <w:rsid w:val="005731FF"/>
    <w:rsid w:val="0057340F"/>
    <w:rsid w:val="005745E4"/>
    <w:rsid w:val="005745F9"/>
    <w:rsid w:val="00574AB8"/>
    <w:rsid w:val="005756D9"/>
    <w:rsid w:val="00575FA2"/>
    <w:rsid w:val="00581C53"/>
    <w:rsid w:val="00583B68"/>
    <w:rsid w:val="00584AC8"/>
    <w:rsid w:val="00590443"/>
    <w:rsid w:val="00590503"/>
    <w:rsid w:val="00591B89"/>
    <w:rsid w:val="0059269E"/>
    <w:rsid w:val="005927CD"/>
    <w:rsid w:val="0059492A"/>
    <w:rsid w:val="0059558D"/>
    <w:rsid w:val="00595FAB"/>
    <w:rsid w:val="005970D5"/>
    <w:rsid w:val="005A0709"/>
    <w:rsid w:val="005A08B4"/>
    <w:rsid w:val="005A15CB"/>
    <w:rsid w:val="005A2630"/>
    <w:rsid w:val="005A3F84"/>
    <w:rsid w:val="005A57CC"/>
    <w:rsid w:val="005A5AF5"/>
    <w:rsid w:val="005A5B2E"/>
    <w:rsid w:val="005A63B3"/>
    <w:rsid w:val="005A6B8E"/>
    <w:rsid w:val="005A7936"/>
    <w:rsid w:val="005A7A69"/>
    <w:rsid w:val="005A7BD9"/>
    <w:rsid w:val="005B00FE"/>
    <w:rsid w:val="005B3A69"/>
    <w:rsid w:val="005B3A78"/>
    <w:rsid w:val="005B523E"/>
    <w:rsid w:val="005B5495"/>
    <w:rsid w:val="005B54B3"/>
    <w:rsid w:val="005B693B"/>
    <w:rsid w:val="005C0A45"/>
    <w:rsid w:val="005C1B99"/>
    <w:rsid w:val="005C2C36"/>
    <w:rsid w:val="005C342A"/>
    <w:rsid w:val="005C35C8"/>
    <w:rsid w:val="005C36D6"/>
    <w:rsid w:val="005C5868"/>
    <w:rsid w:val="005C6829"/>
    <w:rsid w:val="005D12DB"/>
    <w:rsid w:val="005D2532"/>
    <w:rsid w:val="005D2EBB"/>
    <w:rsid w:val="005D3BFF"/>
    <w:rsid w:val="005D526C"/>
    <w:rsid w:val="005D5649"/>
    <w:rsid w:val="005D5E97"/>
    <w:rsid w:val="005D5FE0"/>
    <w:rsid w:val="005D635A"/>
    <w:rsid w:val="005E06D9"/>
    <w:rsid w:val="005E1355"/>
    <w:rsid w:val="005E19B0"/>
    <w:rsid w:val="005E2F7A"/>
    <w:rsid w:val="005E41CE"/>
    <w:rsid w:val="005E5BCB"/>
    <w:rsid w:val="005E5C41"/>
    <w:rsid w:val="005E6A91"/>
    <w:rsid w:val="005E6CA9"/>
    <w:rsid w:val="005E72F9"/>
    <w:rsid w:val="005E7D2D"/>
    <w:rsid w:val="005F138C"/>
    <w:rsid w:val="005F2901"/>
    <w:rsid w:val="005F312D"/>
    <w:rsid w:val="005F3B68"/>
    <w:rsid w:val="005F46E5"/>
    <w:rsid w:val="005F6126"/>
    <w:rsid w:val="005F71F4"/>
    <w:rsid w:val="005F7BC3"/>
    <w:rsid w:val="00600120"/>
    <w:rsid w:val="0060028C"/>
    <w:rsid w:val="00600B97"/>
    <w:rsid w:val="00601F9E"/>
    <w:rsid w:val="00604227"/>
    <w:rsid w:val="00604E83"/>
    <w:rsid w:val="006052CD"/>
    <w:rsid w:val="00611E6F"/>
    <w:rsid w:val="00613996"/>
    <w:rsid w:val="00613A9A"/>
    <w:rsid w:val="00616339"/>
    <w:rsid w:val="00616D43"/>
    <w:rsid w:val="00616DAA"/>
    <w:rsid w:val="00620DA8"/>
    <w:rsid w:val="006227DC"/>
    <w:rsid w:val="00623F2B"/>
    <w:rsid w:val="0062740F"/>
    <w:rsid w:val="00631A38"/>
    <w:rsid w:val="00635FFD"/>
    <w:rsid w:val="006371C0"/>
    <w:rsid w:val="00641BB8"/>
    <w:rsid w:val="00647BA8"/>
    <w:rsid w:val="0065224B"/>
    <w:rsid w:val="006545FB"/>
    <w:rsid w:val="00654760"/>
    <w:rsid w:val="006555AF"/>
    <w:rsid w:val="00655FCE"/>
    <w:rsid w:val="00661E37"/>
    <w:rsid w:val="00662F2F"/>
    <w:rsid w:val="006652DB"/>
    <w:rsid w:val="006662AD"/>
    <w:rsid w:val="00667E9A"/>
    <w:rsid w:val="006708B4"/>
    <w:rsid w:val="006718FE"/>
    <w:rsid w:val="006725D7"/>
    <w:rsid w:val="00675E12"/>
    <w:rsid w:val="00677312"/>
    <w:rsid w:val="006804C3"/>
    <w:rsid w:val="00682109"/>
    <w:rsid w:val="00682C23"/>
    <w:rsid w:val="006839CA"/>
    <w:rsid w:val="00685D95"/>
    <w:rsid w:val="006867F9"/>
    <w:rsid w:val="0068755B"/>
    <w:rsid w:val="006927CF"/>
    <w:rsid w:val="00692CEE"/>
    <w:rsid w:val="00694226"/>
    <w:rsid w:val="00694239"/>
    <w:rsid w:val="006945B1"/>
    <w:rsid w:val="00694E5C"/>
    <w:rsid w:val="00695890"/>
    <w:rsid w:val="00697171"/>
    <w:rsid w:val="006A009C"/>
    <w:rsid w:val="006A1B75"/>
    <w:rsid w:val="006A1E33"/>
    <w:rsid w:val="006A29D4"/>
    <w:rsid w:val="006A52BB"/>
    <w:rsid w:val="006B330D"/>
    <w:rsid w:val="006B3896"/>
    <w:rsid w:val="006B4A1E"/>
    <w:rsid w:val="006B602D"/>
    <w:rsid w:val="006B6180"/>
    <w:rsid w:val="006B7B64"/>
    <w:rsid w:val="006C1365"/>
    <w:rsid w:val="006C37EC"/>
    <w:rsid w:val="006C3C58"/>
    <w:rsid w:val="006C52B5"/>
    <w:rsid w:val="006C63B1"/>
    <w:rsid w:val="006C6B5D"/>
    <w:rsid w:val="006C6D2E"/>
    <w:rsid w:val="006C7D88"/>
    <w:rsid w:val="006D0951"/>
    <w:rsid w:val="006D2A97"/>
    <w:rsid w:val="006D2B64"/>
    <w:rsid w:val="006D4784"/>
    <w:rsid w:val="006D52DD"/>
    <w:rsid w:val="006D5585"/>
    <w:rsid w:val="006D6543"/>
    <w:rsid w:val="006D67D2"/>
    <w:rsid w:val="006E0A66"/>
    <w:rsid w:val="006E10DE"/>
    <w:rsid w:val="006E4CD9"/>
    <w:rsid w:val="006E4E92"/>
    <w:rsid w:val="006E5518"/>
    <w:rsid w:val="006E7C91"/>
    <w:rsid w:val="006F0B09"/>
    <w:rsid w:val="006F1568"/>
    <w:rsid w:val="006F27AC"/>
    <w:rsid w:val="006F2823"/>
    <w:rsid w:val="006F2DBB"/>
    <w:rsid w:val="006F357C"/>
    <w:rsid w:val="006F3697"/>
    <w:rsid w:val="006F3F57"/>
    <w:rsid w:val="006F5700"/>
    <w:rsid w:val="006F5F4D"/>
    <w:rsid w:val="006F6A40"/>
    <w:rsid w:val="006F7162"/>
    <w:rsid w:val="00701365"/>
    <w:rsid w:val="00704414"/>
    <w:rsid w:val="00705D89"/>
    <w:rsid w:val="00707F76"/>
    <w:rsid w:val="00711123"/>
    <w:rsid w:val="007136A3"/>
    <w:rsid w:val="00714C4D"/>
    <w:rsid w:val="00714E21"/>
    <w:rsid w:val="00715099"/>
    <w:rsid w:val="0071564D"/>
    <w:rsid w:val="00716CA0"/>
    <w:rsid w:val="0071736A"/>
    <w:rsid w:val="007176C5"/>
    <w:rsid w:val="00717EDE"/>
    <w:rsid w:val="0072001F"/>
    <w:rsid w:val="00721BCE"/>
    <w:rsid w:val="00723003"/>
    <w:rsid w:val="00725513"/>
    <w:rsid w:val="007262DA"/>
    <w:rsid w:val="007268B7"/>
    <w:rsid w:val="00726AAC"/>
    <w:rsid w:val="00726EE7"/>
    <w:rsid w:val="00730DE4"/>
    <w:rsid w:val="007311A6"/>
    <w:rsid w:val="007325CD"/>
    <w:rsid w:val="007340E1"/>
    <w:rsid w:val="00734370"/>
    <w:rsid w:val="007367E8"/>
    <w:rsid w:val="007427EC"/>
    <w:rsid w:val="0074373A"/>
    <w:rsid w:val="00747370"/>
    <w:rsid w:val="00752FFE"/>
    <w:rsid w:val="00755302"/>
    <w:rsid w:val="00755A70"/>
    <w:rsid w:val="00755DCA"/>
    <w:rsid w:val="0075676A"/>
    <w:rsid w:val="007570AB"/>
    <w:rsid w:val="00762B49"/>
    <w:rsid w:val="00764C18"/>
    <w:rsid w:val="00765642"/>
    <w:rsid w:val="00765956"/>
    <w:rsid w:val="00767CC1"/>
    <w:rsid w:val="00771381"/>
    <w:rsid w:val="00772554"/>
    <w:rsid w:val="0077503D"/>
    <w:rsid w:val="00775618"/>
    <w:rsid w:val="00776304"/>
    <w:rsid w:val="0077690E"/>
    <w:rsid w:val="0077714B"/>
    <w:rsid w:val="007773DB"/>
    <w:rsid w:val="00780501"/>
    <w:rsid w:val="00783393"/>
    <w:rsid w:val="007836AE"/>
    <w:rsid w:val="007837E3"/>
    <w:rsid w:val="007839C6"/>
    <w:rsid w:val="0078512A"/>
    <w:rsid w:val="007858FE"/>
    <w:rsid w:val="00792F66"/>
    <w:rsid w:val="00793C16"/>
    <w:rsid w:val="007964D4"/>
    <w:rsid w:val="007970D3"/>
    <w:rsid w:val="0079742B"/>
    <w:rsid w:val="00797780"/>
    <w:rsid w:val="007A19E0"/>
    <w:rsid w:val="007A1D35"/>
    <w:rsid w:val="007A2A92"/>
    <w:rsid w:val="007A3328"/>
    <w:rsid w:val="007A4A5B"/>
    <w:rsid w:val="007B0A00"/>
    <w:rsid w:val="007B0B7C"/>
    <w:rsid w:val="007B0E33"/>
    <w:rsid w:val="007B35D2"/>
    <w:rsid w:val="007B3A43"/>
    <w:rsid w:val="007B4D32"/>
    <w:rsid w:val="007B5EFA"/>
    <w:rsid w:val="007C0BCD"/>
    <w:rsid w:val="007C1095"/>
    <w:rsid w:val="007C11A0"/>
    <w:rsid w:val="007C2C8F"/>
    <w:rsid w:val="007C390E"/>
    <w:rsid w:val="007C44E0"/>
    <w:rsid w:val="007C7C3A"/>
    <w:rsid w:val="007D35F8"/>
    <w:rsid w:val="007D4F41"/>
    <w:rsid w:val="007D7119"/>
    <w:rsid w:val="007D79DF"/>
    <w:rsid w:val="007E277C"/>
    <w:rsid w:val="007E2C60"/>
    <w:rsid w:val="007E5715"/>
    <w:rsid w:val="007E5965"/>
    <w:rsid w:val="007E59C7"/>
    <w:rsid w:val="007E776A"/>
    <w:rsid w:val="007F0831"/>
    <w:rsid w:val="007F16B4"/>
    <w:rsid w:val="007F5E72"/>
    <w:rsid w:val="007F6073"/>
    <w:rsid w:val="007F6C6B"/>
    <w:rsid w:val="00801618"/>
    <w:rsid w:val="00802689"/>
    <w:rsid w:val="008027BF"/>
    <w:rsid w:val="00802916"/>
    <w:rsid w:val="0080660C"/>
    <w:rsid w:val="00806947"/>
    <w:rsid w:val="00807F9B"/>
    <w:rsid w:val="0081033A"/>
    <w:rsid w:val="00810B9F"/>
    <w:rsid w:val="00812078"/>
    <w:rsid w:val="00814AB7"/>
    <w:rsid w:val="00814F79"/>
    <w:rsid w:val="00815D02"/>
    <w:rsid w:val="008239AE"/>
    <w:rsid w:val="00824A2A"/>
    <w:rsid w:val="00825035"/>
    <w:rsid w:val="008250C5"/>
    <w:rsid w:val="00825811"/>
    <w:rsid w:val="00827B0D"/>
    <w:rsid w:val="0083178C"/>
    <w:rsid w:val="00831D57"/>
    <w:rsid w:val="0083303A"/>
    <w:rsid w:val="008347A7"/>
    <w:rsid w:val="00834903"/>
    <w:rsid w:val="00834D89"/>
    <w:rsid w:val="00834E25"/>
    <w:rsid w:val="00840C40"/>
    <w:rsid w:val="00841F79"/>
    <w:rsid w:val="00842669"/>
    <w:rsid w:val="00846530"/>
    <w:rsid w:val="00847B32"/>
    <w:rsid w:val="0085102E"/>
    <w:rsid w:val="008521BB"/>
    <w:rsid w:val="00853757"/>
    <w:rsid w:val="00855632"/>
    <w:rsid w:val="008576CE"/>
    <w:rsid w:val="00860643"/>
    <w:rsid w:val="00860FBF"/>
    <w:rsid w:val="0086110B"/>
    <w:rsid w:val="00861A0A"/>
    <w:rsid w:val="00863AEF"/>
    <w:rsid w:val="00864F85"/>
    <w:rsid w:val="00865E8D"/>
    <w:rsid w:val="0086617C"/>
    <w:rsid w:val="00866D01"/>
    <w:rsid w:val="008700E4"/>
    <w:rsid w:val="00871F89"/>
    <w:rsid w:val="008745B5"/>
    <w:rsid w:val="008750C4"/>
    <w:rsid w:val="008757C5"/>
    <w:rsid w:val="0087591B"/>
    <w:rsid w:val="00877B66"/>
    <w:rsid w:val="008806E7"/>
    <w:rsid w:val="0088124F"/>
    <w:rsid w:val="00882B3E"/>
    <w:rsid w:val="00883AF7"/>
    <w:rsid w:val="00884262"/>
    <w:rsid w:val="00884718"/>
    <w:rsid w:val="00884881"/>
    <w:rsid w:val="00884C78"/>
    <w:rsid w:val="00885FFE"/>
    <w:rsid w:val="008866BB"/>
    <w:rsid w:val="0088790C"/>
    <w:rsid w:val="00890867"/>
    <w:rsid w:val="00891395"/>
    <w:rsid w:val="00891F43"/>
    <w:rsid w:val="00892049"/>
    <w:rsid w:val="00893E4A"/>
    <w:rsid w:val="008952E8"/>
    <w:rsid w:val="00895B8F"/>
    <w:rsid w:val="00896072"/>
    <w:rsid w:val="008A18A0"/>
    <w:rsid w:val="008A2AB8"/>
    <w:rsid w:val="008A3586"/>
    <w:rsid w:val="008A60F0"/>
    <w:rsid w:val="008A69BC"/>
    <w:rsid w:val="008B0034"/>
    <w:rsid w:val="008B0C6C"/>
    <w:rsid w:val="008B1FBF"/>
    <w:rsid w:val="008B3808"/>
    <w:rsid w:val="008B65D4"/>
    <w:rsid w:val="008C2AC4"/>
    <w:rsid w:val="008C4F34"/>
    <w:rsid w:val="008C5197"/>
    <w:rsid w:val="008C5740"/>
    <w:rsid w:val="008C6420"/>
    <w:rsid w:val="008C6BC9"/>
    <w:rsid w:val="008C75E5"/>
    <w:rsid w:val="008D0E91"/>
    <w:rsid w:val="008D126E"/>
    <w:rsid w:val="008D5B71"/>
    <w:rsid w:val="008D5CA7"/>
    <w:rsid w:val="008D66D8"/>
    <w:rsid w:val="008D6EFF"/>
    <w:rsid w:val="008E02D1"/>
    <w:rsid w:val="008E1905"/>
    <w:rsid w:val="008E49B2"/>
    <w:rsid w:val="008E5065"/>
    <w:rsid w:val="008E5625"/>
    <w:rsid w:val="008E688B"/>
    <w:rsid w:val="008E695C"/>
    <w:rsid w:val="008F145B"/>
    <w:rsid w:val="008F3D73"/>
    <w:rsid w:val="008F6033"/>
    <w:rsid w:val="008F6F2F"/>
    <w:rsid w:val="008F755D"/>
    <w:rsid w:val="008F7AD8"/>
    <w:rsid w:val="009008A1"/>
    <w:rsid w:val="0090264F"/>
    <w:rsid w:val="00902F4D"/>
    <w:rsid w:val="0090346F"/>
    <w:rsid w:val="009042D6"/>
    <w:rsid w:val="00906889"/>
    <w:rsid w:val="00907E2C"/>
    <w:rsid w:val="00910A78"/>
    <w:rsid w:val="00910C80"/>
    <w:rsid w:val="00912416"/>
    <w:rsid w:val="00912D9A"/>
    <w:rsid w:val="00913DF6"/>
    <w:rsid w:val="009159A9"/>
    <w:rsid w:val="00922849"/>
    <w:rsid w:val="00923665"/>
    <w:rsid w:val="009239AA"/>
    <w:rsid w:val="00923B90"/>
    <w:rsid w:val="0092702E"/>
    <w:rsid w:val="0092732C"/>
    <w:rsid w:val="0093115A"/>
    <w:rsid w:val="00937112"/>
    <w:rsid w:val="00941F4D"/>
    <w:rsid w:val="00946E71"/>
    <w:rsid w:val="00947A67"/>
    <w:rsid w:val="00947DFE"/>
    <w:rsid w:val="009512FA"/>
    <w:rsid w:val="00951324"/>
    <w:rsid w:val="00951861"/>
    <w:rsid w:val="00951DB0"/>
    <w:rsid w:val="00952A28"/>
    <w:rsid w:val="00952FA9"/>
    <w:rsid w:val="009544D7"/>
    <w:rsid w:val="0095497F"/>
    <w:rsid w:val="00957E96"/>
    <w:rsid w:val="00960C68"/>
    <w:rsid w:val="00963695"/>
    <w:rsid w:val="0097105A"/>
    <w:rsid w:val="009716AE"/>
    <w:rsid w:val="00972CB4"/>
    <w:rsid w:val="00972F3E"/>
    <w:rsid w:val="00973588"/>
    <w:rsid w:val="00974039"/>
    <w:rsid w:val="009742DA"/>
    <w:rsid w:val="009753B9"/>
    <w:rsid w:val="009813C8"/>
    <w:rsid w:val="0098166B"/>
    <w:rsid w:val="0098252F"/>
    <w:rsid w:val="00985DDA"/>
    <w:rsid w:val="00990C82"/>
    <w:rsid w:val="0099533A"/>
    <w:rsid w:val="009A0C24"/>
    <w:rsid w:val="009A1569"/>
    <w:rsid w:val="009A1F52"/>
    <w:rsid w:val="009A25A2"/>
    <w:rsid w:val="009A2DC2"/>
    <w:rsid w:val="009A3CC2"/>
    <w:rsid w:val="009A4225"/>
    <w:rsid w:val="009A480D"/>
    <w:rsid w:val="009A7DD2"/>
    <w:rsid w:val="009A7FF4"/>
    <w:rsid w:val="009B03CF"/>
    <w:rsid w:val="009B0D3B"/>
    <w:rsid w:val="009B2729"/>
    <w:rsid w:val="009B31AB"/>
    <w:rsid w:val="009B3917"/>
    <w:rsid w:val="009B495A"/>
    <w:rsid w:val="009B50C8"/>
    <w:rsid w:val="009B7229"/>
    <w:rsid w:val="009C0A14"/>
    <w:rsid w:val="009C0A84"/>
    <w:rsid w:val="009C191C"/>
    <w:rsid w:val="009C1A1B"/>
    <w:rsid w:val="009C4354"/>
    <w:rsid w:val="009C4A9C"/>
    <w:rsid w:val="009C79CD"/>
    <w:rsid w:val="009D0A39"/>
    <w:rsid w:val="009D2FAB"/>
    <w:rsid w:val="009D364E"/>
    <w:rsid w:val="009D3D46"/>
    <w:rsid w:val="009D3E92"/>
    <w:rsid w:val="009D43B3"/>
    <w:rsid w:val="009D546C"/>
    <w:rsid w:val="009D63EB"/>
    <w:rsid w:val="009E07DB"/>
    <w:rsid w:val="009E2C4D"/>
    <w:rsid w:val="009E3960"/>
    <w:rsid w:val="009E3E36"/>
    <w:rsid w:val="009E59AF"/>
    <w:rsid w:val="009E7910"/>
    <w:rsid w:val="009F045C"/>
    <w:rsid w:val="009F0754"/>
    <w:rsid w:val="009F48C5"/>
    <w:rsid w:val="009F766E"/>
    <w:rsid w:val="00A026AE"/>
    <w:rsid w:val="00A02F7E"/>
    <w:rsid w:val="00A042F3"/>
    <w:rsid w:val="00A050DC"/>
    <w:rsid w:val="00A1000A"/>
    <w:rsid w:val="00A125B6"/>
    <w:rsid w:val="00A148D5"/>
    <w:rsid w:val="00A15709"/>
    <w:rsid w:val="00A1798A"/>
    <w:rsid w:val="00A17F42"/>
    <w:rsid w:val="00A21252"/>
    <w:rsid w:val="00A22397"/>
    <w:rsid w:val="00A23067"/>
    <w:rsid w:val="00A2538E"/>
    <w:rsid w:val="00A258E9"/>
    <w:rsid w:val="00A25B14"/>
    <w:rsid w:val="00A26A6F"/>
    <w:rsid w:val="00A27593"/>
    <w:rsid w:val="00A31068"/>
    <w:rsid w:val="00A32C19"/>
    <w:rsid w:val="00A33C09"/>
    <w:rsid w:val="00A3614A"/>
    <w:rsid w:val="00A363B7"/>
    <w:rsid w:val="00A41C13"/>
    <w:rsid w:val="00A420FB"/>
    <w:rsid w:val="00A42D4C"/>
    <w:rsid w:val="00A4515C"/>
    <w:rsid w:val="00A460A3"/>
    <w:rsid w:val="00A50983"/>
    <w:rsid w:val="00A50A13"/>
    <w:rsid w:val="00A52E6E"/>
    <w:rsid w:val="00A53003"/>
    <w:rsid w:val="00A530AC"/>
    <w:rsid w:val="00A53226"/>
    <w:rsid w:val="00A554A7"/>
    <w:rsid w:val="00A55D6D"/>
    <w:rsid w:val="00A57595"/>
    <w:rsid w:val="00A60508"/>
    <w:rsid w:val="00A61B3C"/>
    <w:rsid w:val="00A622C4"/>
    <w:rsid w:val="00A62745"/>
    <w:rsid w:val="00A62B7A"/>
    <w:rsid w:val="00A62F4A"/>
    <w:rsid w:val="00A65915"/>
    <w:rsid w:val="00A6695F"/>
    <w:rsid w:val="00A66C44"/>
    <w:rsid w:val="00A66F7C"/>
    <w:rsid w:val="00A73CCF"/>
    <w:rsid w:val="00A73CF7"/>
    <w:rsid w:val="00A74310"/>
    <w:rsid w:val="00A76F5E"/>
    <w:rsid w:val="00A77F15"/>
    <w:rsid w:val="00A816D6"/>
    <w:rsid w:val="00A861F8"/>
    <w:rsid w:val="00A876E8"/>
    <w:rsid w:val="00A935F9"/>
    <w:rsid w:val="00A93B2C"/>
    <w:rsid w:val="00A946F9"/>
    <w:rsid w:val="00A949C6"/>
    <w:rsid w:val="00A95D33"/>
    <w:rsid w:val="00A96929"/>
    <w:rsid w:val="00AA18BB"/>
    <w:rsid w:val="00AB0230"/>
    <w:rsid w:val="00AB1737"/>
    <w:rsid w:val="00AB1C0D"/>
    <w:rsid w:val="00AB26E4"/>
    <w:rsid w:val="00AB31D3"/>
    <w:rsid w:val="00AB3405"/>
    <w:rsid w:val="00AB3ADE"/>
    <w:rsid w:val="00AB4D54"/>
    <w:rsid w:val="00AB734D"/>
    <w:rsid w:val="00AB7C2F"/>
    <w:rsid w:val="00AB7CEC"/>
    <w:rsid w:val="00AB7DA0"/>
    <w:rsid w:val="00AC0A1E"/>
    <w:rsid w:val="00AC28C2"/>
    <w:rsid w:val="00AC3047"/>
    <w:rsid w:val="00AC379E"/>
    <w:rsid w:val="00AC37B4"/>
    <w:rsid w:val="00AC5228"/>
    <w:rsid w:val="00AD35D6"/>
    <w:rsid w:val="00AD3793"/>
    <w:rsid w:val="00AD4034"/>
    <w:rsid w:val="00AD48EC"/>
    <w:rsid w:val="00AD50DD"/>
    <w:rsid w:val="00AD5694"/>
    <w:rsid w:val="00AD7449"/>
    <w:rsid w:val="00AE0B0D"/>
    <w:rsid w:val="00AE0F03"/>
    <w:rsid w:val="00AE11D2"/>
    <w:rsid w:val="00AE3779"/>
    <w:rsid w:val="00AE39E3"/>
    <w:rsid w:val="00AE4574"/>
    <w:rsid w:val="00AE4AEF"/>
    <w:rsid w:val="00AE5DF3"/>
    <w:rsid w:val="00AE78A1"/>
    <w:rsid w:val="00AF25B4"/>
    <w:rsid w:val="00AF4D00"/>
    <w:rsid w:val="00AF5105"/>
    <w:rsid w:val="00B00D22"/>
    <w:rsid w:val="00B014AF"/>
    <w:rsid w:val="00B01694"/>
    <w:rsid w:val="00B01742"/>
    <w:rsid w:val="00B01874"/>
    <w:rsid w:val="00B02BAD"/>
    <w:rsid w:val="00B03C21"/>
    <w:rsid w:val="00B04409"/>
    <w:rsid w:val="00B0450B"/>
    <w:rsid w:val="00B0540E"/>
    <w:rsid w:val="00B1026E"/>
    <w:rsid w:val="00B14A90"/>
    <w:rsid w:val="00B16A97"/>
    <w:rsid w:val="00B21709"/>
    <w:rsid w:val="00B21B7A"/>
    <w:rsid w:val="00B2303A"/>
    <w:rsid w:val="00B232EB"/>
    <w:rsid w:val="00B25638"/>
    <w:rsid w:val="00B273C2"/>
    <w:rsid w:val="00B27FA8"/>
    <w:rsid w:val="00B309DC"/>
    <w:rsid w:val="00B311FE"/>
    <w:rsid w:val="00B31E71"/>
    <w:rsid w:val="00B3453E"/>
    <w:rsid w:val="00B35A30"/>
    <w:rsid w:val="00B35B72"/>
    <w:rsid w:val="00B365C9"/>
    <w:rsid w:val="00B366F0"/>
    <w:rsid w:val="00B40088"/>
    <w:rsid w:val="00B41CF0"/>
    <w:rsid w:val="00B42025"/>
    <w:rsid w:val="00B44591"/>
    <w:rsid w:val="00B44A3F"/>
    <w:rsid w:val="00B44EAC"/>
    <w:rsid w:val="00B45857"/>
    <w:rsid w:val="00B45AD1"/>
    <w:rsid w:val="00B46820"/>
    <w:rsid w:val="00B5066A"/>
    <w:rsid w:val="00B528A9"/>
    <w:rsid w:val="00B52E32"/>
    <w:rsid w:val="00B52EEF"/>
    <w:rsid w:val="00B54564"/>
    <w:rsid w:val="00B5577B"/>
    <w:rsid w:val="00B56CC4"/>
    <w:rsid w:val="00B60305"/>
    <w:rsid w:val="00B6047C"/>
    <w:rsid w:val="00B615BF"/>
    <w:rsid w:val="00B6233B"/>
    <w:rsid w:val="00B65378"/>
    <w:rsid w:val="00B657A3"/>
    <w:rsid w:val="00B67FF6"/>
    <w:rsid w:val="00B73AF6"/>
    <w:rsid w:val="00B74067"/>
    <w:rsid w:val="00B74278"/>
    <w:rsid w:val="00B82E8E"/>
    <w:rsid w:val="00B83248"/>
    <w:rsid w:val="00B845C8"/>
    <w:rsid w:val="00B84DD7"/>
    <w:rsid w:val="00B8538F"/>
    <w:rsid w:val="00B85447"/>
    <w:rsid w:val="00B92218"/>
    <w:rsid w:val="00B93FE1"/>
    <w:rsid w:val="00B94464"/>
    <w:rsid w:val="00B945B6"/>
    <w:rsid w:val="00B94625"/>
    <w:rsid w:val="00B94E34"/>
    <w:rsid w:val="00B97223"/>
    <w:rsid w:val="00BA05F3"/>
    <w:rsid w:val="00BA1263"/>
    <w:rsid w:val="00BA14AB"/>
    <w:rsid w:val="00BA14DE"/>
    <w:rsid w:val="00BA155A"/>
    <w:rsid w:val="00BA20FD"/>
    <w:rsid w:val="00BA229C"/>
    <w:rsid w:val="00BA39ED"/>
    <w:rsid w:val="00BA5C6C"/>
    <w:rsid w:val="00BA5CA3"/>
    <w:rsid w:val="00BA79FB"/>
    <w:rsid w:val="00BB05B6"/>
    <w:rsid w:val="00BB10E9"/>
    <w:rsid w:val="00BB6A97"/>
    <w:rsid w:val="00BB74A8"/>
    <w:rsid w:val="00BB761C"/>
    <w:rsid w:val="00BC14D4"/>
    <w:rsid w:val="00BC257B"/>
    <w:rsid w:val="00BC56B1"/>
    <w:rsid w:val="00BC5DBA"/>
    <w:rsid w:val="00BC6FAD"/>
    <w:rsid w:val="00BC7217"/>
    <w:rsid w:val="00BD0256"/>
    <w:rsid w:val="00BD08C0"/>
    <w:rsid w:val="00BD0AD8"/>
    <w:rsid w:val="00BD0C63"/>
    <w:rsid w:val="00BD2C20"/>
    <w:rsid w:val="00BD6308"/>
    <w:rsid w:val="00BD7727"/>
    <w:rsid w:val="00BE01F4"/>
    <w:rsid w:val="00BE20C5"/>
    <w:rsid w:val="00BE2B7D"/>
    <w:rsid w:val="00BE424A"/>
    <w:rsid w:val="00BE46F2"/>
    <w:rsid w:val="00BE4A9C"/>
    <w:rsid w:val="00BE5F1E"/>
    <w:rsid w:val="00BF0A6A"/>
    <w:rsid w:val="00BF1E6D"/>
    <w:rsid w:val="00BF32B3"/>
    <w:rsid w:val="00BF3F4A"/>
    <w:rsid w:val="00BF436A"/>
    <w:rsid w:val="00BF4D02"/>
    <w:rsid w:val="00BF5240"/>
    <w:rsid w:val="00BF5854"/>
    <w:rsid w:val="00BF6D88"/>
    <w:rsid w:val="00BF7620"/>
    <w:rsid w:val="00BF7827"/>
    <w:rsid w:val="00C059D6"/>
    <w:rsid w:val="00C05A20"/>
    <w:rsid w:val="00C07355"/>
    <w:rsid w:val="00C077FB"/>
    <w:rsid w:val="00C11DD3"/>
    <w:rsid w:val="00C12AC3"/>
    <w:rsid w:val="00C20C6B"/>
    <w:rsid w:val="00C2174B"/>
    <w:rsid w:val="00C22835"/>
    <w:rsid w:val="00C23350"/>
    <w:rsid w:val="00C24D14"/>
    <w:rsid w:val="00C252D6"/>
    <w:rsid w:val="00C26804"/>
    <w:rsid w:val="00C31269"/>
    <w:rsid w:val="00C3133B"/>
    <w:rsid w:val="00C34506"/>
    <w:rsid w:val="00C34A9A"/>
    <w:rsid w:val="00C4061B"/>
    <w:rsid w:val="00C40C5C"/>
    <w:rsid w:val="00C43C39"/>
    <w:rsid w:val="00C43F35"/>
    <w:rsid w:val="00C453CE"/>
    <w:rsid w:val="00C46458"/>
    <w:rsid w:val="00C46962"/>
    <w:rsid w:val="00C505DB"/>
    <w:rsid w:val="00C50AA7"/>
    <w:rsid w:val="00C510F6"/>
    <w:rsid w:val="00C54404"/>
    <w:rsid w:val="00C54642"/>
    <w:rsid w:val="00C567A3"/>
    <w:rsid w:val="00C56DE4"/>
    <w:rsid w:val="00C57B41"/>
    <w:rsid w:val="00C60D4F"/>
    <w:rsid w:val="00C628D5"/>
    <w:rsid w:val="00C64468"/>
    <w:rsid w:val="00C64D37"/>
    <w:rsid w:val="00C66C49"/>
    <w:rsid w:val="00C66EEC"/>
    <w:rsid w:val="00C7083D"/>
    <w:rsid w:val="00C723D7"/>
    <w:rsid w:val="00C72A5C"/>
    <w:rsid w:val="00C74DDB"/>
    <w:rsid w:val="00C7567F"/>
    <w:rsid w:val="00C76E2E"/>
    <w:rsid w:val="00C81855"/>
    <w:rsid w:val="00C83289"/>
    <w:rsid w:val="00C851CD"/>
    <w:rsid w:val="00C86318"/>
    <w:rsid w:val="00C868AE"/>
    <w:rsid w:val="00C908AA"/>
    <w:rsid w:val="00C9116E"/>
    <w:rsid w:val="00C96910"/>
    <w:rsid w:val="00C97191"/>
    <w:rsid w:val="00C97DB6"/>
    <w:rsid w:val="00CA05C5"/>
    <w:rsid w:val="00CA1506"/>
    <w:rsid w:val="00CA18E1"/>
    <w:rsid w:val="00CA294E"/>
    <w:rsid w:val="00CA39C9"/>
    <w:rsid w:val="00CA47CC"/>
    <w:rsid w:val="00CA7DB8"/>
    <w:rsid w:val="00CB252E"/>
    <w:rsid w:val="00CB2766"/>
    <w:rsid w:val="00CB4044"/>
    <w:rsid w:val="00CB48F1"/>
    <w:rsid w:val="00CB509B"/>
    <w:rsid w:val="00CC47CD"/>
    <w:rsid w:val="00CC4D25"/>
    <w:rsid w:val="00CC7045"/>
    <w:rsid w:val="00CD71A0"/>
    <w:rsid w:val="00CD784D"/>
    <w:rsid w:val="00CE112F"/>
    <w:rsid w:val="00CE15BE"/>
    <w:rsid w:val="00CE1F5F"/>
    <w:rsid w:val="00CE3DDB"/>
    <w:rsid w:val="00CE5D72"/>
    <w:rsid w:val="00CE7EC9"/>
    <w:rsid w:val="00CF0085"/>
    <w:rsid w:val="00CF052C"/>
    <w:rsid w:val="00CF071D"/>
    <w:rsid w:val="00CF1737"/>
    <w:rsid w:val="00CF1CC2"/>
    <w:rsid w:val="00CF2A27"/>
    <w:rsid w:val="00D01445"/>
    <w:rsid w:val="00D0228C"/>
    <w:rsid w:val="00D0241B"/>
    <w:rsid w:val="00D02CB5"/>
    <w:rsid w:val="00D03ED5"/>
    <w:rsid w:val="00D05A8B"/>
    <w:rsid w:val="00D108D3"/>
    <w:rsid w:val="00D11AFE"/>
    <w:rsid w:val="00D126EE"/>
    <w:rsid w:val="00D133E6"/>
    <w:rsid w:val="00D137D9"/>
    <w:rsid w:val="00D1418B"/>
    <w:rsid w:val="00D150B6"/>
    <w:rsid w:val="00D150BC"/>
    <w:rsid w:val="00D1775E"/>
    <w:rsid w:val="00D239F4"/>
    <w:rsid w:val="00D23C74"/>
    <w:rsid w:val="00D25347"/>
    <w:rsid w:val="00D32393"/>
    <w:rsid w:val="00D32427"/>
    <w:rsid w:val="00D33934"/>
    <w:rsid w:val="00D34BBA"/>
    <w:rsid w:val="00D34F00"/>
    <w:rsid w:val="00D35CA5"/>
    <w:rsid w:val="00D35EBD"/>
    <w:rsid w:val="00D3613C"/>
    <w:rsid w:val="00D36FAB"/>
    <w:rsid w:val="00D37FD3"/>
    <w:rsid w:val="00D433E2"/>
    <w:rsid w:val="00D4642A"/>
    <w:rsid w:val="00D4752F"/>
    <w:rsid w:val="00D5040A"/>
    <w:rsid w:val="00D5077D"/>
    <w:rsid w:val="00D51B87"/>
    <w:rsid w:val="00D55C29"/>
    <w:rsid w:val="00D60167"/>
    <w:rsid w:val="00D6172B"/>
    <w:rsid w:val="00D63A77"/>
    <w:rsid w:val="00D65DEB"/>
    <w:rsid w:val="00D66134"/>
    <w:rsid w:val="00D668D3"/>
    <w:rsid w:val="00D70824"/>
    <w:rsid w:val="00D73289"/>
    <w:rsid w:val="00D75B37"/>
    <w:rsid w:val="00D80CA4"/>
    <w:rsid w:val="00D825A8"/>
    <w:rsid w:val="00D82E42"/>
    <w:rsid w:val="00D83209"/>
    <w:rsid w:val="00D85988"/>
    <w:rsid w:val="00D86395"/>
    <w:rsid w:val="00D8729B"/>
    <w:rsid w:val="00D91681"/>
    <w:rsid w:val="00D91737"/>
    <w:rsid w:val="00D95EA9"/>
    <w:rsid w:val="00D96DFB"/>
    <w:rsid w:val="00D97A62"/>
    <w:rsid w:val="00D97B7D"/>
    <w:rsid w:val="00D97E9D"/>
    <w:rsid w:val="00DA0609"/>
    <w:rsid w:val="00DA094C"/>
    <w:rsid w:val="00DA12C6"/>
    <w:rsid w:val="00DA16BA"/>
    <w:rsid w:val="00DA1A90"/>
    <w:rsid w:val="00DA2D81"/>
    <w:rsid w:val="00DA56FE"/>
    <w:rsid w:val="00DA6159"/>
    <w:rsid w:val="00DA646A"/>
    <w:rsid w:val="00DA6A5B"/>
    <w:rsid w:val="00DA6C3C"/>
    <w:rsid w:val="00DB3BEE"/>
    <w:rsid w:val="00DB3EF3"/>
    <w:rsid w:val="00DB4563"/>
    <w:rsid w:val="00DB4BC4"/>
    <w:rsid w:val="00DB5A70"/>
    <w:rsid w:val="00DB678B"/>
    <w:rsid w:val="00DB6AD5"/>
    <w:rsid w:val="00DB6E9F"/>
    <w:rsid w:val="00DB728D"/>
    <w:rsid w:val="00DB7769"/>
    <w:rsid w:val="00DB78BE"/>
    <w:rsid w:val="00DC6A01"/>
    <w:rsid w:val="00DD0D1B"/>
    <w:rsid w:val="00DD1852"/>
    <w:rsid w:val="00DD7080"/>
    <w:rsid w:val="00DD7C5C"/>
    <w:rsid w:val="00DE140B"/>
    <w:rsid w:val="00DE1D95"/>
    <w:rsid w:val="00DE3086"/>
    <w:rsid w:val="00DE69E1"/>
    <w:rsid w:val="00DE7929"/>
    <w:rsid w:val="00DF08EB"/>
    <w:rsid w:val="00DF0D67"/>
    <w:rsid w:val="00DF1431"/>
    <w:rsid w:val="00DF34FA"/>
    <w:rsid w:val="00DF5FC1"/>
    <w:rsid w:val="00DF6A1D"/>
    <w:rsid w:val="00DF777A"/>
    <w:rsid w:val="00E00650"/>
    <w:rsid w:val="00E01533"/>
    <w:rsid w:val="00E03C66"/>
    <w:rsid w:val="00E07055"/>
    <w:rsid w:val="00E1269F"/>
    <w:rsid w:val="00E12B64"/>
    <w:rsid w:val="00E14513"/>
    <w:rsid w:val="00E17003"/>
    <w:rsid w:val="00E21B16"/>
    <w:rsid w:val="00E22545"/>
    <w:rsid w:val="00E23B44"/>
    <w:rsid w:val="00E250C2"/>
    <w:rsid w:val="00E26333"/>
    <w:rsid w:val="00E32C20"/>
    <w:rsid w:val="00E330D9"/>
    <w:rsid w:val="00E36279"/>
    <w:rsid w:val="00E37224"/>
    <w:rsid w:val="00E37609"/>
    <w:rsid w:val="00E41378"/>
    <w:rsid w:val="00E424D9"/>
    <w:rsid w:val="00E42A27"/>
    <w:rsid w:val="00E433CA"/>
    <w:rsid w:val="00E4378B"/>
    <w:rsid w:val="00E439D6"/>
    <w:rsid w:val="00E444C5"/>
    <w:rsid w:val="00E46AC8"/>
    <w:rsid w:val="00E50399"/>
    <w:rsid w:val="00E516B1"/>
    <w:rsid w:val="00E52A36"/>
    <w:rsid w:val="00E52E55"/>
    <w:rsid w:val="00E54B02"/>
    <w:rsid w:val="00E5612E"/>
    <w:rsid w:val="00E56DD7"/>
    <w:rsid w:val="00E575D6"/>
    <w:rsid w:val="00E62C23"/>
    <w:rsid w:val="00E63B0F"/>
    <w:rsid w:val="00E64145"/>
    <w:rsid w:val="00E64D47"/>
    <w:rsid w:val="00E673ED"/>
    <w:rsid w:val="00E707EA"/>
    <w:rsid w:val="00E72719"/>
    <w:rsid w:val="00E72C07"/>
    <w:rsid w:val="00E744C9"/>
    <w:rsid w:val="00E75EFD"/>
    <w:rsid w:val="00E80023"/>
    <w:rsid w:val="00E801FB"/>
    <w:rsid w:val="00E82558"/>
    <w:rsid w:val="00E839F4"/>
    <w:rsid w:val="00E8557B"/>
    <w:rsid w:val="00E86B38"/>
    <w:rsid w:val="00E93E47"/>
    <w:rsid w:val="00E943BD"/>
    <w:rsid w:val="00E961B4"/>
    <w:rsid w:val="00E96822"/>
    <w:rsid w:val="00E97982"/>
    <w:rsid w:val="00E97E2C"/>
    <w:rsid w:val="00EA2D1E"/>
    <w:rsid w:val="00EA4E3A"/>
    <w:rsid w:val="00EA62D8"/>
    <w:rsid w:val="00EA7E21"/>
    <w:rsid w:val="00EB0A0D"/>
    <w:rsid w:val="00EB374B"/>
    <w:rsid w:val="00EB38EB"/>
    <w:rsid w:val="00EB6764"/>
    <w:rsid w:val="00EB797B"/>
    <w:rsid w:val="00EC0483"/>
    <w:rsid w:val="00EC1D50"/>
    <w:rsid w:val="00EC32E5"/>
    <w:rsid w:val="00EC3F9B"/>
    <w:rsid w:val="00ED0E92"/>
    <w:rsid w:val="00ED2363"/>
    <w:rsid w:val="00ED3018"/>
    <w:rsid w:val="00ED351E"/>
    <w:rsid w:val="00ED3F02"/>
    <w:rsid w:val="00ED564A"/>
    <w:rsid w:val="00ED6D82"/>
    <w:rsid w:val="00EE57E5"/>
    <w:rsid w:val="00EE7ADA"/>
    <w:rsid w:val="00EF0B04"/>
    <w:rsid w:val="00EF1D90"/>
    <w:rsid w:val="00EF7489"/>
    <w:rsid w:val="00F01F9A"/>
    <w:rsid w:val="00F0213A"/>
    <w:rsid w:val="00F02434"/>
    <w:rsid w:val="00F02469"/>
    <w:rsid w:val="00F02815"/>
    <w:rsid w:val="00F02991"/>
    <w:rsid w:val="00F02AC2"/>
    <w:rsid w:val="00F02BD3"/>
    <w:rsid w:val="00F03D9A"/>
    <w:rsid w:val="00F04768"/>
    <w:rsid w:val="00F0574F"/>
    <w:rsid w:val="00F0671F"/>
    <w:rsid w:val="00F109CF"/>
    <w:rsid w:val="00F12B83"/>
    <w:rsid w:val="00F13303"/>
    <w:rsid w:val="00F136A3"/>
    <w:rsid w:val="00F13B58"/>
    <w:rsid w:val="00F15600"/>
    <w:rsid w:val="00F20AF3"/>
    <w:rsid w:val="00F215A1"/>
    <w:rsid w:val="00F2287A"/>
    <w:rsid w:val="00F22CCA"/>
    <w:rsid w:val="00F23B83"/>
    <w:rsid w:val="00F256CF"/>
    <w:rsid w:val="00F25FF7"/>
    <w:rsid w:val="00F27105"/>
    <w:rsid w:val="00F34CA2"/>
    <w:rsid w:val="00F369C9"/>
    <w:rsid w:val="00F36BFB"/>
    <w:rsid w:val="00F37472"/>
    <w:rsid w:val="00F40532"/>
    <w:rsid w:val="00F44604"/>
    <w:rsid w:val="00F50714"/>
    <w:rsid w:val="00F5091E"/>
    <w:rsid w:val="00F51B4D"/>
    <w:rsid w:val="00F51FCD"/>
    <w:rsid w:val="00F522B2"/>
    <w:rsid w:val="00F56716"/>
    <w:rsid w:val="00F61E31"/>
    <w:rsid w:val="00F61FBA"/>
    <w:rsid w:val="00F66F85"/>
    <w:rsid w:val="00F6733B"/>
    <w:rsid w:val="00F70531"/>
    <w:rsid w:val="00F70F0C"/>
    <w:rsid w:val="00F722B0"/>
    <w:rsid w:val="00F724F5"/>
    <w:rsid w:val="00F75D15"/>
    <w:rsid w:val="00F75F86"/>
    <w:rsid w:val="00F77598"/>
    <w:rsid w:val="00F80EE6"/>
    <w:rsid w:val="00F84B23"/>
    <w:rsid w:val="00F857E1"/>
    <w:rsid w:val="00F87233"/>
    <w:rsid w:val="00F8767E"/>
    <w:rsid w:val="00F90CFA"/>
    <w:rsid w:val="00F9151D"/>
    <w:rsid w:val="00FA0662"/>
    <w:rsid w:val="00FA0C1D"/>
    <w:rsid w:val="00FA1F6A"/>
    <w:rsid w:val="00FA3C20"/>
    <w:rsid w:val="00FA6E19"/>
    <w:rsid w:val="00FA7830"/>
    <w:rsid w:val="00FB0C9F"/>
    <w:rsid w:val="00FB17B4"/>
    <w:rsid w:val="00FB1F65"/>
    <w:rsid w:val="00FB3AD4"/>
    <w:rsid w:val="00FB6BE2"/>
    <w:rsid w:val="00FB74A0"/>
    <w:rsid w:val="00FC18B3"/>
    <w:rsid w:val="00FC2627"/>
    <w:rsid w:val="00FC38E6"/>
    <w:rsid w:val="00FC3BA6"/>
    <w:rsid w:val="00FC752E"/>
    <w:rsid w:val="00FD10C3"/>
    <w:rsid w:val="00FD24F1"/>
    <w:rsid w:val="00FD32EE"/>
    <w:rsid w:val="00FD34A2"/>
    <w:rsid w:val="00FD697C"/>
    <w:rsid w:val="00FD771C"/>
    <w:rsid w:val="00FE050C"/>
    <w:rsid w:val="00FE20D0"/>
    <w:rsid w:val="00FE37C5"/>
    <w:rsid w:val="00FE5692"/>
    <w:rsid w:val="00FE5FD9"/>
    <w:rsid w:val="00FE7237"/>
    <w:rsid w:val="00FF04DE"/>
    <w:rsid w:val="00FF4069"/>
    <w:rsid w:val="00FF525B"/>
    <w:rsid w:val="00FF6644"/>
    <w:rsid w:val="00FF7B19"/>
    <w:rsid w:val="00FF7B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39647"/>
  <w15:docId w15:val="{AF878E79-2F23-441C-A1BB-126ED4B4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40E"/>
    <w:pPr>
      <w:spacing w:after="200" w:line="276" w:lineRule="auto"/>
    </w:pPr>
    <w:rPr>
      <w:sz w:val="22"/>
      <w:szCs w:val="22"/>
      <w:lang w:eastAsia="en-US"/>
    </w:rPr>
  </w:style>
  <w:style w:type="paragraph" w:styleId="Heading1">
    <w:name w:val="heading 1"/>
    <w:basedOn w:val="Normal"/>
    <w:next w:val="Normal"/>
    <w:link w:val="Heading1Char"/>
    <w:uiPriority w:val="9"/>
    <w:qFormat/>
    <w:rsid w:val="00401C62"/>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401C62"/>
    <w:pPr>
      <w:keepNext/>
      <w:keepLines/>
      <w:spacing w:before="40" w:after="0"/>
      <w:outlineLvl w:val="1"/>
    </w:pPr>
    <w:rPr>
      <w:rFonts w:ascii="Cambria" w:eastAsia="Times New Roma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A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A2F"/>
  </w:style>
  <w:style w:type="paragraph" w:styleId="Footer">
    <w:name w:val="footer"/>
    <w:basedOn w:val="Normal"/>
    <w:link w:val="FooterChar"/>
    <w:uiPriority w:val="99"/>
    <w:unhideWhenUsed/>
    <w:rsid w:val="00344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A2F"/>
  </w:style>
  <w:style w:type="paragraph" w:styleId="BalloonText">
    <w:name w:val="Balloon Text"/>
    <w:basedOn w:val="Normal"/>
    <w:link w:val="BalloonTextChar"/>
    <w:uiPriority w:val="99"/>
    <w:semiHidden/>
    <w:unhideWhenUsed/>
    <w:rsid w:val="00344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4A2F"/>
    <w:rPr>
      <w:rFonts w:ascii="Tahoma" w:hAnsi="Tahoma" w:cs="Tahoma"/>
      <w:sz w:val="16"/>
      <w:szCs w:val="16"/>
    </w:rPr>
  </w:style>
  <w:style w:type="paragraph" w:customStyle="1" w:styleId="CharChar1Char">
    <w:name w:val="Char Char1 Char"/>
    <w:basedOn w:val="Normal"/>
    <w:semiHidden/>
    <w:rsid w:val="00704414"/>
    <w:pPr>
      <w:tabs>
        <w:tab w:val="left" w:pos="709"/>
      </w:tabs>
      <w:spacing w:after="0" w:line="240" w:lineRule="auto"/>
    </w:pPr>
    <w:rPr>
      <w:rFonts w:ascii="Futura Bk" w:eastAsia="Times New Roman" w:hAnsi="Futura Bk"/>
      <w:sz w:val="20"/>
      <w:szCs w:val="24"/>
      <w:lang w:val="pl-PL" w:eastAsia="pl-PL"/>
    </w:rPr>
  </w:style>
  <w:style w:type="paragraph" w:styleId="Caption">
    <w:name w:val="caption"/>
    <w:basedOn w:val="Normal"/>
    <w:next w:val="Normal"/>
    <w:qFormat/>
    <w:rsid w:val="005745E4"/>
    <w:pPr>
      <w:spacing w:after="0" w:line="240" w:lineRule="auto"/>
      <w:jc w:val="center"/>
    </w:pPr>
    <w:rPr>
      <w:rFonts w:ascii="Times New Roman" w:eastAsia="Times New Roman" w:hAnsi="Times New Roman"/>
      <w:b/>
      <w:caps/>
      <w:spacing w:val="20"/>
      <w:sz w:val="24"/>
      <w:szCs w:val="20"/>
    </w:rPr>
  </w:style>
  <w:style w:type="paragraph" w:customStyle="1" w:styleId="CharCharChar1CharCharCharCharCharChar">
    <w:name w:val="Char Char Char1 Char Char Char Char Char Char"/>
    <w:basedOn w:val="Normal"/>
    <w:rsid w:val="0045792D"/>
    <w:pPr>
      <w:tabs>
        <w:tab w:val="left" w:pos="709"/>
      </w:tabs>
      <w:spacing w:after="0" w:line="240" w:lineRule="auto"/>
    </w:pPr>
    <w:rPr>
      <w:rFonts w:ascii="Tahoma" w:eastAsia="Times New Roman" w:hAnsi="Tahoma"/>
      <w:sz w:val="24"/>
      <w:szCs w:val="24"/>
      <w:lang w:val="pl-PL" w:eastAsia="pl-PL"/>
    </w:rPr>
  </w:style>
  <w:style w:type="paragraph" w:styleId="ListParagraph">
    <w:name w:val="List Paragraph"/>
    <w:basedOn w:val="Normal"/>
    <w:uiPriority w:val="34"/>
    <w:qFormat/>
    <w:rsid w:val="002051E6"/>
    <w:pPr>
      <w:ind w:left="720"/>
      <w:contextualSpacing/>
    </w:pPr>
  </w:style>
  <w:style w:type="character" w:styleId="CommentReference">
    <w:name w:val="annotation reference"/>
    <w:uiPriority w:val="99"/>
    <w:semiHidden/>
    <w:unhideWhenUsed/>
    <w:rsid w:val="00B46820"/>
    <w:rPr>
      <w:sz w:val="16"/>
      <w:szCs w:val="16"/>
    </w:rPr>
  </w:style>
  <w:style w:type="paragraph" w:styleId="CommentText">
    <w:name w:val="annotation text"/>
    <w:basedOn w:val="Normal"/>
    <w:link w:val="CommentTextChar"/>
    <w:uiPriority w:val="99"/>
    <w:semiHidden/>
    <w:unhideWhenUsed/>
    <w:rsid w:val="00B46820"/>
    <w:pPr>
      <w:spacing w:line="240" w:lineRule="auto"/>
    </w:pPr>
    <w:rPr>
      <w:sz w:val="20"/>
      <w:szCs w:val="20"/>
    </w:rPr>
  </w:style>
  <w:style w:type="character" w:customStyle="1" w:styleId="CommentTextChar">
    <w:name w:val="Comment Text Char"/>
    <w:link w:val="CommentText"/>
    <w:uiPriority w:val="99"/>
    <w:semiHidden/>
    <w:rsid w:val="00B46820"/>
    <w:rPr>
      <w:sz w:val="20"/>
      <w:szCs w:val="20"/>
    </w:rPr>
  </w:style>
  <w:style w:type="paragraph" w:styleId="CommentSubject">
    <w:name w:val="annotation subject"/>
    <w:basedOn w:val="CommentText"/>
    <w:next w:val="CommentText"/>
    <w:link w:val="CommentSubjectChar"/>
    <w:uiPriority w:val="99"/>
    <w:semiHidden/>
    <w:unhideWhenUsed/>
    <w:rsid w:val="00B46820"/>
    <w:rPr>
      <w:b/>
      <w:bCs/>
    </w:rPr>
  </w:style>
  <w:style w:type="character" w:customStyle="1" w:styleId="CommentSubjectChar">
    <w:name w:val="Comment Subject Char"/>
    <w:link w:val="CommentSubject"/>
    <w:uiPriority w:val="99"/>
    <w:semiHidden/>
    <w:rsid w:val="00B46820"/>
    <w:rPr>
      <w:b/>
      <w:bCs/>
      <w:sz w:val="20"/>
      <w:szCs w:val="20"/>
    </w:rPr>
  </w:style>
  <w:style w:type="paragraph" w:customStyle="1" w:styleId="Default">
    <w:name w:val="Default"/>
    <w:rsid w:val="00E86B38"/>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59"/>
    <w:rsid w:val="00282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D5649"/>
    <w:rPr>
      <w:caps/>
      <w:color w:val="243F60"/>
      <w:spacing w:val="5"/>
    </w:rPr>
  </w:style>
  <w:style w:type="character" w:styleId="Hyperlink">
    <w:name w:val="Hyperlink"/>
    <w:uiPriority w:val="99"/>
    <w:unhideWhenUsed/>
    <w:rsid w:val="00771381"/>
    <w:rPr>
      <w:color w:val="0000FF"/>
      <w:u w:val="single"/>
    </w:rPr>
  </w:style>
  <w:style w:type="paragraph" w:styleId="FootnoteText">
    <w:name w:val="footnote text"/>
    <w:basedOn w:val="Normal"/>
    <w:link w:val="FootnoteTextChar"/>
    <w:uiPriority w:val="99"/>
    <w:semiHidden/>
    <w:unhideWhenUsed/>
    <w:rsid w:val="00C40C5C"/>
    <w:pPr>
      <w:spacing w:after="0" w:line="240" w:lineRule="auto"/>
    </w:pPr>
    <w:rPr>
      <w:sz w:val="20"/>
      <w:szCs w:val="20"/>
    </w:rPr>
  </w:style>
  <w:style w:type="character" w:customStyle="1" w:styleId="FootnoteTextChar">
    <w:name w:val="Footnote Text Char"/>
    <w:link w:val="FootnoteText"/>
    <w:uiPriority w:val="99"/>
    <w:semiHidden/>
    <w:rsid w:val="00C40C5C"/>
    <w:rPr>
      <w:sz w:val="20"/>
      <w:szCs w:val="20"/>
    </w:rPr>
  </w:style>
  <w:style w:type="character" w:styleId="FootnoteReference">
    <w:name w:val="footnote reference"/>
    <w:uiPriority w:val="99"/>
    <w:semiHidden/>
    <w:unhideWhenUsed/>
    <w:rsid w:val="00C40C5C"/>
    <w:rPr>
      <w:vertAlign w:val="superscript"/>
    </w:rPr>
  </w:style>
  <w:style w:type="paragraph" w:customStyle="1" w:styleId="CharChar1Char0">
    <w:name w:val="Char Char1 Char"/>
    <w:basedOn w:val="Normal"/>
    <w:semiHidden/>
    <w:rsid w:val="006725D7"/>
    <w:pPr>
      <w:tabs>
        <w:tab w:val="left" w:pos="709"/>
      </w:tabs>
      <w:spacing w:after="0" w:line="240" w:lineRule="auto"/>
    </w:pPr>
    <w:rPr>
      <w:rFonts w:ascii="Futura Bk" w:eastAsia="Times New Roman" w:hAnsi="Futura Bk"/>
      <w:sz w:val="20"/>
      <w:szCs w:val="24"/>
      <w:lang w:val="pl-PL" w:eastAsia="pl-PL"/>
    </w:rPr>
  </w:style>
  <w:style w:type="character" w:customStyle="1" w:styleId="Heading1Char">
    <w:name w:val="Heading 1 Char"/>
    <w:link w:val="Heading1"/>
    <w:uiPriority w:val="9"/>
    <w:rsid w:val="00401C62"/>
    <w:rPr>
      <w:rFonts w:ascii="Cambria" w:eastAsia="Times New Roman" w:hAnsi="Cambria" w:cs="Times New Roman"/>
      <w:color w:val="365F91"/>
      <w:sz w:val="32"/>
      <w:szCs w:val="32"/>
    </w:rPr>
  </w:style>
  <w:style w:type="character" w:customStyle="1" w:styleId="Heading2Char">
    <w:name w:val="Heading 2 Char"/>
    <w:link w:val="Heading2"/>
    <w:uiPriority w:val="9"/>
    <w:rsid w:val="00401C62"/>
    <w:rPr>
      <w:rFonts w:ascii="Cambria" w:eastAsia="Times New Roman" w:hAnsi="Cambria" w:cs="Times New Roman"/>
      <w:color w:val="365F91"/>
      <w:sz w:val="26"/>
      <w:szCs w:val="26"/>
    </w:rPr>
  </w:style>
  <w:style w:type="paragraph" w:styleId="Title">
    <w:name w:val="Title"/>
    <w:basedOn w:val="Normal"/>
    <w:next w:val="Normal"/>
    <w:link w:val="TitleChar"/>
    <w:uiPriority w:val="10"/>
    <w:qFormat/>
    <w:rsid w:val="00252B6B"/>
    <w:pPr>
      <w:spacing w:after="0" w:line="240" w:lineRule="auto"/>
      <w:contextualSpacing/>
    </w:pPr>
    <w:rPr>
      <w:rFonts w:ascii="Cambria" w:eastAsia="Times New Roman" w:hAnsi="Cambria"/>
      <w:spacing w:val="-10"/>
      <w:kern w:val="28"/>
      <w:sz w:val="56"/>
      <w:szCs w:val="56"/>
    </w:rPr>
  </w:style>
  <w:style w:type="character" w:customStyle="1" w:styleId="TitleChar">
    <w:name w:val="Title Char"/>
    <w:link w:val="Title"/>
    <w:uiPriority w:val="10"/>
    <w:rsid w:val="00252B6B"/>
    <w:rPr>
      <w:rFonts w:ascii="Cambria" w:eastAsia="Times New Roman" w:hAnsi="Cambria" w:cs="Times New Roman"/>
      <w:spacing w:val="-10"/>
      <w:kern w:val="28"/>
      <w:sz w:val="56"/>
      <w:szCs w:val="56"/>
    </w:rPr>
  </w:style>
  <w:style w:type="paragraph" w:styleId="TOCHeading">
    <w:name w:val="TOC Heading"/>
    <w:basedOn w:val="Heading1"/>
    <w:next w:val="Normal"/>
    <w:uiPriority w:val="39"/>
    <w:unhideWhenUsed/>
    <w:qFormat/>
    <w:rsid w:val="00ED3018"/>
    <w:pPr>
      <w:spacing w:line="259" w:lineRule="auto"/>
      <w:outlineLvl w:val="9"/>
    </w:pPr>
    <w:rPr>
      <w:lang w:eastAsia="bg-BG"/>
    </w:rPr>
  </w:style>
  <w:style w:type="paragraph" w:styleId="TOC1">
    <w:name w:val="toc 1"/>
    <w:basedOn w:val="Normal"/>
    <w:next w:val="Normal"/>
    <w:autoRedefine/>
    <w:uiPriority w:val="39"/>
    <w:unhideWhenUsed/>
    <w:rsid w:val="00ED3018"/>
    <w:pPr>
      <w:spacing w:after="100"/>
    </w:pPr>
  </w:style>
  <w:style w:type="paragraph" w:styleId="TOC2">
    <w:name w:val="toc 2"/>
    <w:basedOn w:val="Normal"/>
    <w:next w:val="Normal"/>
    <w:autoRedefine/>
    <w:uiPriority w:val="39"/>
    <w:unhideWhenUsed/>
    <w:rsid w:val="00ED3018"/>
    <w:pPr>
      <w:spacing w:after="100"/>
      <w:ind w:left="220"/>
    </w:pPr>
  </w:style>
  <w:style w:type="paragraph" w:styleId="Revision">
    <w:name w:val="Revision"/>
    <w:hidden/>
    <w:uiPriority w:val="99"/>
    <w:semiHidden/>
    <w:rsid w:val="00215DEA"/>
    <w:rPr>
      <w:sz w:val="22"/>
      <w:szCs w:val="22"/>
      <w:lang w:eastAsia="en-US"/>
    </w:rPr>
  </w:style>
  <w:style w:type="character" w:styleId="FollowedHyperlink">
    <w:name w:val="FollowedHyperlink"/>
    <w:uiPriority w:val="99"/>
    <w:semiHidden/>
    <w:unhideWhenUsed/>
    <w:rsid w:val="00B44EA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5170">
      <w:bodyDiv w:val="1"/>
      <w:marLeft w:val="0"/>
      <w:marRight w:val="0"/>
      <w:marTop w:val="0"/>
      <w:marBottom w:val="0"/>
      <w:divBdr>
        <w:top w:val="none" w:sz="0" w:space="0" w:color="auto"/>
        <w:left w:val="none" w:sz="0" w:space="0" w:color="auto"/>
        <w:bottom w:val="none" w:sz="0" w:space="0" w:color="auto"/>
        <w:right w:val="none" w:sz="0" w:space="0" w:color="auto"/>
      </w:divBdr>
    </w:div>
    <w:div w:id="1442647245">
      <w:bodyDiv w:val="1"/>
      <w:marLeft w:val="0"/>
      <w:marRight w:val="0"/>
      <w:marTop w:val="0"/>
      <w:marBottom w:val="0"/>
      <w:divBdr>
        <w:top w:val="none" w:sz="0" w:space="0" w:color="auto"/>
        <w:left w:val="none" w:sz="0" w:space="0" w:color="auto"/>
        <w:bottom w:val="none" w:sz="0" w:space="0" w:color="auto"/>
        <w:right w:val="none" w:sz="0" w:space="0" w:color="auto"/>
      </w:divBdr>
    </w:div>
    <w:div w:id="1531141604">
      <w:bodyDiv w:val="1"/>
      <w:marLeft w:val="0"/>
      <w:marRight w:val="0"/>
      <w:marTop w:val="0"/>
      <w:marBottom w:val="0"/>
      <w:divBdr>
        <w:top w:val="none" w:sz="0" w:space="0" w:color="auto"/>
        <w:left w:val="none" w:sz="0" w:space="0" w:color="auto"/>
        <w:bottom w:val="none" w:sz="0" w:space="0" w:color="auto"/>
        <w:right w:val="none" w:sz="0" w:space="0" w:color="auto"/>
      </w:divBdr>
    </w:div>
    <w:div w:id="18480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npos.wordpress.com/" TargetMode="External"/><Relationship Id="rId4" Type="http://schemas.openxmlformats.org/officeDocument/2006/relationships/settings" Target="settings.xml"/><Relationship Id="rId9" Type="http://schemas.openxmlformats.org/officeDocument/2006/relationships/hyperlink" Target="http://www.strategy.bg/StrategicDocuments/View.aspx?lang=bg-BG&amp;Id=1288"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ir2.sofia.bg/airpublic/low/emission/zones/" TargetMode="External"/><Relationship Id="rId7" Type="http://schemas.openxmlformats.org/officeDocument/2006/relationships/hyperlink" Target="https://ec.europa.eu/commission/presscorner/detail/bg/ip_22_6278" TargetMode="External"/><Relationship Id="rId2" Type="http://schemas.openxmlformats.org/officeDocument/2006/relationships/hyperlink" Target="https://lifeipcleanair.eu/" TargetMode="External"/><Relationship Id="rId1" Type="http://schemas.openxmlformats.org/officeDocument/2006/relationships/hyperlink" Target="https://www.damtn.government.bg/wp-content/uploads/2024/03/damtn_otchet2023.pdf" TargetMode="External"/><Relationship Id="rId6" Type="http://schemas.openxmlformats.org/officeDocument/2006/relationships/hyperlink" Target="https://www.sofia.bg/en/low-emission-zones" TargetMode="External"/><Relationship Id="rId5" Type="http://schemas.openxmlformats.org/officeDocument/2006/relationships/hyperlink" Target="https://www.nsi.bg/sites/default/files/files/pressreleases/Census2011final.pdf" TargetMode="External"/><Relationship Id="rId4" Type="http://schemas.openxmlformats.org/officeDocument/2006/relationships/hyperlink" Target="https://nsi.bg/sites/default/files/files/pressreleases/Census2021_housing_conditions.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s\KAV\NPPKAV\Otchet%202023\Otchet\2024_grafika%20kym%20otchet_2018_2022_2023_Sled%20aktualizatsiya%202023_July%20IAO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Documents\KAV\NPPKAV\Otchet%202023\Otchet\2024_grafika%20kym%20otchet_2018_2022_2023_Sled%20aktualizatsiya%202023_July%20IAO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bg-BG" sz="1800" b="0" i="0" baseline="0">
                <a:effectLst/>
              </a:rPr>
              <a:t>Средногодишни стойности на концентрацията на ФПЧ</a:t>
            </a:r>
            <a:r>
              <a:rPr lang="bg-BG" sz="1800" b="0" i="0" baseline="-25000">
                <a:effectLst/>
              </a:rPr>
              <a:t>10</a:t>
            </a:r>
            <a:r>
              <a:rPr lang="bg-BG" sz="1800" b="0" i="0" baseline="0">
                <a:effectLst/>
              </a:rPr>
              <a:t>, регистрирани през 2018г.</a:t>
            </a:r>
            <a:r>
              <a:rPr lang="en-US" sz="1800" b="0" i="0" baseline="0">
                <a:effectLst/>
              </a:rPr>
              <a:t>, 2022</a:t>
            </a:r>
            <a:r>
              <a:rPr lang="bg-BG" sz="1800" b="0" i="0" baseline="0">
                <a:effectLst/>
              </a:rPr>
              <a:t>г. и 2023г.</a:t>
            </a:r>
            <a:endParaRPr lang="bg-BG">
              <a:effectLst/>
            </a:endParaRPr>
          </a:p>
        </c:rich>
      </c:tx>
      <c:layout>
        <c:manualLayout>
          <c:xMode val="edge"/>
          <c:yMode val="edge"/>
          <c:x val="0.12298339183442927"/>
          <c:y val="1.5236934328813043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manualLayout>
          <c:layoutTarget val="inner"/>
          <c:xMode val="edge"/>
          <c:yMode val="edge"/>
          <c:x val="4.7562523778683828E-2"/>
          <c:y val="0.34115495962212411"/>
          <c:w val="0.93854720932975944"/>
          <c:h val="0.24966232793961854"/>
        </c:manualLayout>
      </c:layout>
      <c:barChart>
        <c:barDir val="col"/>
        <c:grouping val="clustered"/>
        <c:varyColors val="0"/>
        <c:ser>
          <c:idx val="0"/>
          <c:order val="0"/>
          <c:tx>
            <c:strRef>
              <c:f>СГН!$C$2</c:f>
              <c:strCache>
                <c:ptCount val="1"/>
                <c:pt idx="0">
                  <c:v>2018г.</c:v>
                </c:pt>
              </c:strCache>
            </c:strRef>
          </c:tx>
          <c:spPr>
            <a:solidFill>
              <a:schemeClr val="accent1"/>
            </a:solidFill>
            <a:ln>
              <a:noFill/>
            </a:ln>
            <a:effectLst/>
          </c:spPr>
          <c:invertIfNegative val="0"/>
          <c:cat>
            <c:strRef>
              <c:f>СГН!$B$3:$B$40</c:f>
              <c:strCache>
                <c:ptCount val="38"/>
                <c:pt idx="0">
                  <c:v>Видин</c:v>
                </c:pt>
                <c:pt idx="1">
                  <c:v>Пловдив - ж.к. Тракия</c:v>
                </c:pt>
                <c:pt idx="2">
                  <c:v>Г. Оряховица</c:v>
                </c:pt>
                <c:pt idx="3">
                  <c:v>Монтана</c:v>
                </c:pt>
                <c:pt idx="4">
                  <c:v>Плевен</c:v>
                </c:pt>
                <c:pt idx="5">
                  <c:v>София - Надежда</c:v>
                </c:pt>
                <c:pt idx="6">
                  <c:v>Бургас - Долно Езерово</c:v>
                </c:pt>
                <c:pt idx="7">
                  <c:v>София - ИАОС Павлово</c:v>
                </c:pt>
                <c:pt idx="8">
                  <c:v>Асеновград</c:v>
                </c:pt>
                <c:pt idx="9">
                  <c:v>Благоевград</c:v>
                </c:pt>
                <c:pt idx="10">
                  <c:v>Перник - Църква</c:v>
                </c:pt>
                <c:pt idx="11">
                  <c:v>Пловдив - Каменица</c:v>
                </c:pt>
                <c:pt idx="12">
                  <c:v>София - Хиподрума</c:v>
                </c:pt>
                <c:pt idx="13">
                  <c:v>Русе - Възраждане</c:v>
                </c:pt>
                <c:pt idx="14">
                  <c:v>Смолян</c:v>
                </c:pt>
                <c:pt idx="15">
                  <c:v>София - Младост</c:v>
                </c:pt>
                <c:pt idx="16">
                  <c:v>Хасково</c:v>
                </c:pt>
                <c:pt idx="17">
                  <c:v>София - Гара Яна</c:v>
                </c:pt>
                <c:pt idx="18">
                  <c:v>Шумен</c:v>
                </c:pt>
                <c:pt idx="19">
                  <c:v>В. Търново</c:v>
                </c:pt>
                <c:pt idx="20">
                  <c:v>Кърджали</c:v>
                </c:pt>
                <c:pt idx="21">
                  <c:v>Бургас - ДОАС</c:v>
                </c:pt>
                <c:pt idx="22">
                  <c:v>Перник - Център</c:v>
                </c:pt>
                <c:pt idx="23">
                  <c:v>Димитровград</c:v>
                </c:pt>
                <c:pt idx="24">
                  <c:v>Ловеч</c:v>
                </c:pt>
                <c:pt idx="25">
                  <c:v>Враца</c:v>
                </c:pt>
                <c:pt idx="26">
                  <c:v>Пирдоп</c:v>
                </c:pt>
                <c:pt idx="27">
                  <c:v>Добрич</c:v>
                </c:pt>
                <c:pt idx="28">
                  <c:v>Варна - Чайка</c:v>
                </c:pt>
                <c:pt idx="29">
                  <c:v>Варна - СОУ Ангел Кънчев</c:v>
                </c:pt>
                <c:pt idx="30">
                  <c:v>Девня</c:v>
                </c:pt>
                <c:pt idx="31">
                  <c:v>София - Дружба</c:v>
                </c:pt>
                <c:pt idx="32">
                  <c:v>Сливен</c:v>
                </c:pt>
                <c:pt idx="33">
                  <c:v>Гълъбово</c:v>
                </c:pt>
                <c:pt idx="34">
                  <c:v>Стара Загора</c:v>
                </c:pt>
                <c:pt idx="35">
                  <c:v>Бургас - Меден рудник</c:v>
                </c:pt>
                <c:pt idx="36">
                  <c:v>Пазарджик</c:v>
                </c:pt>
                <c:pt idx="37">
                  <c:v>Несебър</c:v>
                </c:pt>
              </c:strCache>
            </c:strRef>
          </c:cat>
          <c:val>
            <c:numRef>
              <c:f>СГН!$C$3:$C$40</c:f>
              <c:numCache>
                <c:formatCode>General</c:formatCode>
                <c:ptCount val="38"/>
                <c:pt idx="0">
                  <c:v>51.16</c:v>
                </c:pt>
                <c:pt idx="1">
                  <c:v>49.43</c:v>
                </c:pt>
                <c:pt idx="2">
                  <c:v>48.02</c:v>
                </c:pt>
                <c:pt idx="3">
                  <c:v>44.05</c:v>
                </c:pt>
                <c:pt idx="4">
                  <c:v>42.79</c:v>
                </c:pt>
                <c:pt idx="5">
                  <c:v>42.45</c:v>
                </c:pt>
                <c:pt idx="6">
                  <c:v>41.9</c:v>
                </c:pt>
                <c:pt idx="7">
                  <c:v>40.82</c:v>
                </c:pt>
                <c:pt idx="8">
                  <c:v>39.31</c:v>
                </c:pt>
                <c:pt idx="9">
                  <c:v>39.29</c:v>
                </c:pt>
                <c:pt idx="10">
                  <c:v>39.049999999999997</c:v>
                </c:pt>
                <c:pt idx="11">
                  <c:v>38.97</c:v>
                </c:pt>
                <c:pt idx="12">
                  <c:v>38.94</c:v>
                </c:pt>
                <c:pt idx="13">
                  <c:v>38.869999999999997</c:v>
                </c:pt>
                <c:pt idx="14">
                  <c:v>37.85</c:v>
                </c:pt>
                <c:pt idx="15">
                  <c:v>35.57</c:v>
                </c:pt>
                <c:pt idx="16">
                  <c:v>35.270000000000003</c:v>
                </c:pt>
                <c:pt idx="17">
                  <c:v>34.22</c:v>
                </c:pt>
                <c:pt idx="18">
                  <c:v>33.78</c:v>
                </c:pt>
                <c:pt idx="19">
                  <c:v>33.659999999999997</c:v>
                </c:pt>
                <c:pt idx="20">
                  <c:v>33.18</c:v>
                </c:pt>
                <c:pt idx="21">
                  <c:v>31.17</c:v>
                </c:pt>
                <c:pt idx="22">
                  <c:v>30.6</c:v>
                </c:pt>
                <c:pt idx="23">
                  <c:v>30.18</c:v>
                </c:pt>
                <c:pt idx="24">
                  <c:v>29.43</c:v>
                </c:pt>
                <c:pt idx="25">
                  <c:v>29.23</c:v>
                </c:pt>
                <c:pt idx="26">
                  <c:v>28.53</c:v>
                </c:pt>
                <c:pt idx="27">
                  <c:v>27.65</c:v>
                </c:pt>
                <c:pt idx="28">
                  <c:v>27.44</c:v>
                </c:pt>
                <c:pt idx="29">
                  <c:v>26.45</c:v>
                </c:pt>
                <c:pt idx="30">
                  <c:v>25.18</c:v>
                </c:pt>
                <c:pt idx="31">
                  <c:v>25.05</c:v>
                </c:pt>
                <c:pt idx="32">
                  <c:v>23.72</c:v>
                </c:pt>
                <c:pt idx="33">
                  <c:v>22.66</c:v>
                </c:pt>
                <c:pt idx="34">
                  <c:v>22.24</c:v>
                </c:pt>
                <c:pt idx="35">
                  <c:v>17.79</c:v>
                </c:pt>
              </c:numCache>
            </c:numRef>
          </c:val>
          <c:extLst>
            <c:ext xmlns:c16="http://schemas.microsoft.com/office/drawing/2014/chart" uri="{C3380CC4-5D6E-409C-BE32-E72D297353CC}">
              <c16:uniqueId val="{00000000-5091-4CE8-80AB-B62AB60C894F}"/>
            </c:ext>
          </c:extLst>
        </c:ser>
        <c:ser>
          <c:idx val="1"/>
          <c:order val="1"/>
          <c:tx>
            <c:strRef>
              <c:f>СГН!$D$2</c:f>
              <c:strCache>
                <c:ptCount val="1"/>
                <c:pt idx="0">
                  <c:v>2022г.</c:v>
                </c:pt>
              </c:strCache>
            </c:strRef>
          </c:tx>
          <c:spPr>
            <a:solidFill>
              <a:schemeClr val="accent4"/>
            </a:solidFill>
            <a:ln>
              <a:noFill/>
            </a:ln>
            <a:effectLst/>
          </c:spPr>
          <c:invertIfNegative val="0"/>
          <c:cat>
            <c:strRef>
              <c:f>СГН!$B$3:$B$40</c:f>
              <c:strCache>
                <c:ptCount val="38"/>
                <c:pt idx="0">
                  <c:v>Видин</c:v>
                </c:pt>
                <c:pt idx="1">
                  <c:v>Пловдив - ж.к. Тракия</c:v>
                </c:pt>
                <c:pt idx="2">
                  <c:v>Г. Оряховица</c:v>
                </c:pt>
                <c:pt idx="3">
                  <c:v>Монтана</c:v>
                </c:pt>
                <c:pt idx="4">
                  <c:v>Плевен</c:v>
                </c:pt>
                <c:pt idx="5">
                  <c:v>София - Надежда</c:v>
                </c:pt>
                <c:pt idx="6">
                  <c:v>Бургас - Долно Езерово</c:v>
                </c:pt>
                <c:pt idx="7">
                  <c:v>София - ИАОС Павлово</c:v>
                </c:pt>
                <c:pt idx="8">
                  <c:v>Асеновград</c:v>
                </c:pt>
                <c:pt idx="9">
                  <c:v>Благоевград</c:v>
                </c:pt>
                <c:pt idx="10">
                  <c:v>Перник - Църква</c:v>
                </c:pt>
                <c:pt idx="11">
                  <c:v>Пловдив - Каменица</c:v>
                </c:pt>
                <c:pt idx="12">
                  <c:v>София - Хиподрума</c:v>
                </c:pt>
                <c:pt idx="13">
                  <c:v>Русе - Възраждане</c:v>
                </c:pt>
                <c:pt idx="14">
                  <c:v>Смолян</c:v>
                </c:pt>
                <c:pt idx="15">
                  <c:v>София - Младост</c:v>
                </c:pt>
                <c:pt idx="16">
                  <c:v>Хасково</c:v>
                </c:pt>
                <c:pt idx="17">
                  <c:v>София - Гара Яна</c:v>
                </c:pt>
                <c:pt idx="18">
                  <c:v>Шумен</c:v>
                </c:pt>
                <c:pt idx="19">
                  <c:v>В. Търново</c:v>
                </c:pt>
                <c:pt idx="20">
                  <c:v>Кърджали</c:v>
                </c:pt>
                <c:pt idx="21">
                  <c:v>Бургас - ДОАС</c:v>
                </c:pt>
                <c:pt idx="22">
                  <c:v>Перник - Център</c:v>
                </c:pt>
                <c:pt idx="23">
                  <c:v>Димитровград</c:v>
                </c:pt>
                <c:pt idx="24">
                  <c:v>Ловеч</c:v>
                </c:pt>
                <c:pt idx="25">
                  <c:v>Враца</c:v>
                </c:pt>
                <c:pt idx="26">
                  <c:v>Пирдоп</c:v>
                </c:pt>
                <c:pt idx="27">
                  <c:v>Добрич</c:v>
                </c:pt>
                <c:pt idx="28">
                  <c:v>Варна - Чайка</c:v>
                </c:pt>
                <c:pt idx="29">
                  <c:v>Варна - СОУ Ангел Кънчев</c:v>
                </c:pt>
                <c:pt idx="30">
                  <c:v>Девня</c:v>
                </c:pt>
                <c:pt idx="31">
                  <c:v>София - Дружба</c:v>
                </c:pt>
                <c:pt idx="32">
                  <c:v>Сливен</c:v>
                </c:pt>
                <c:pt idx="33">
                  <c:v>Гълъбово</c:v>
                </c:pt>
                <c:pt idx="34">
                  <c:v>Стара Загора</c:v>
                </c:pt>
                <c:pt idx="35">
                  <c:v>Бургас - Меден рудник</c:v>
                </c:pt>
                <c:pt idx="36">
                  <c:v>Пазарджик</c:v>
                </c:pt>
                <c:pt idx="37">
                  <c:v>Несебър</c:v>
                </c:pt>
              </c:strCache>
            </c:strRef>
          </c:cat>
          <c:val>
            <c:numRef>
              <c:f>СГН!$D$3:$D$40</c:f>
              <c:numCache>
                <c:formatCode>General</c:formatCode>
                <c:ptCount val="38"/>
                <c:pt idx="0">
                  <c:v>31.38</c:v>
                </c:pt>
                <c:pt idx="1">
                  <c:v>37.200000000000003</c:v>
                </c:pt>
                <c:pt idx="2">
                  <c:v>30.34</c:v>
                </c:pt>
                <c:pt idx="3">
                  <c:v>30.48</c:v>
                </c:pt>
                <c:pt idx="4">
                  <c:v>26.79</c:v>
                </c:pt>
                <c:pt idx="5">
                  <c:v>29.48</c:v>
                </c:pt>
                <c:pt idx="6">
                  <c:v>31.63</c:v>
                </c:pt>
                <c:pt idx="7">
                  <c:v>25.75</c:v>
                </c:pt>
                <c:pt idx="8">
                  <c:v>25.07</c:v>
                </c:pt>
                <c:pt idx="9">
                  <c:v>22.65</c:v>
                </c:pt>
                <c:pt idx="10">
                  <c:v>30.71</c:v>
                </c:pt>
                <c:pt idx="11">
                  <c:v>28.36</c:v>
                </c:pt>
                <c:pt idx="12">
                  <c:v>30.04</c:v>
                </c:pt>
                <c:pt idx="13">
                  <c:v>37.28</c:v>
                </c:pt>
                <c:pt idx="14">
                  <c:v>29.74</c:v>
                </c:pt>
                <c:pt idx="15">
                  <c:v>24.14</c:v>
                </c:pt>
                <c:pt idx="16">
                  <c:v>27.62</c:v>
                </c:pt>
                <c:pt idx="17">
                  <c:v>24.97</c:v>
                </c:pt>
                <c:pt idx="18">
                  <c:v>23.07</c:v>
                </c:pt>
                <c:pt idx="19">
                  <c:v>26.31</c:v>
                </c:pt>
                <c:pt idx="20">
                  <c:v>22.44</c:v>
                </c:pt>
                <c:pt idx="21">
                  <c:v>25.63</c:v>
                </c:pt>
                <c:pt idx="22">
                  <c:v>21.8</c:v>
                </c:pt>
                <c:pt idx="23">
                  <c:v>10.91</c:v>
                </c:pt>
                <c:pt idx="24">
                  <c:v>20.010000000000002</c:v>
                </c:pt>
                <c:pt idx="25">
                  <c:v>21.91</c:v>
                </c:pt>
                <c:pt idx="26">
                  <c:v>17.510000000000002</c:v>
                </c:pt>
                <c:pt idx="27">
                  <c:v>21.45</c:v>
                </c:pt>
                <c:pt idx="28">
                  <c:v>18.23</c:v>
                </c:pt>
                <c:pt idx="29">
                  <c:v>28.4</c:v>
                </c:pt>
                <c:pt idx="30">
                  <c:v>27.58</c:v>
                </c:pt>
                <c:pt idx="31">
                  <c:v>22.9</c:v>
                </c:pt>
                <c:pt idx="32">
                  <c:v>9.2100000000000009</c:v>
                </c:pt>
                <c:pt idx="33">
                  <c:v>36.46</c:v>
                </c:pt>
                <c:pt idx="34">
                  <c:v>23.66</c:v>
                </c:pt>
                <c:pt idx="35">
                  <c:v>18.510000000000002</c:v>
                </c:pt>
                <c:pt idx="36">
                  <c:v>23.71</c:v>
                </c:pt>
                <c:pt idx="37">
                  <c:v>23.65</c:v>
                </c:pt>
              </c:numCache>
            </c:numRef>
          </c:val>
          <c:extLst>
            <c:ext xmlns:c16="http://schemas.microsoft.com/office/drawing/2014/chart" uri="{C3380CC4-5D6E-409C-BE32-E72D297353CC}">
              <c16:uniqueId val="{00000001-5091-4CE8-80AB-B62AB60C894F}"/>
            </c:ext>
          </c:extLst>
        </c:ser>
        <c:ser>
          <c:idx val="2"/>
          <c:order val="2"/>
          <c:tx>
            <c:strRef>
              <c:f>СГН!$E$2</c:f>
              <c:strCache>
                <c:ptCount val="1"/>
                <c:pt idx="0">
                  <c:v>2023г.</c:v>
                </c:pt>
              </c:strCache>
            </c:strRef>
          </c:tx>
          <c:spPr>
            <a:solidFill>
              <a:schemeClr val="accent6"/>
            </a:solidFill>
            <a:ln>
              <a:noFill/>
            </a:ln>
            <a:effectLst/>
          </c:spPr>
          <c:invertIfNegative val="0"/>
          <c:cat>
            <c:strRef>
              <c:f>СГН!$B$3:$B$40</c:f>
              <c:strCache>
                <c:ptCount val="38"/>
                <c:pt idx="0">
                  <c:v>Видин</c:v>
                </c:pt>
                <c:pt idx="1">
                  <c:v>Пловдив - ж.к. Тракия</c:v>
                </c:pt>
                <c:pt idx="2">
                  <c:v>Г. Оряховица</c:v>
                </c:pt>
                <c:pt idx="3">
                  <c:v>Монтана</c:v>
                </c:pt>
                <c:pt idx="4">
                  <c:v>Плевен</c:v>
                </c:pt>
                <c:pt idx="5">
                  <c:v>София - Надежда</c:v>
                </c:pt>
                <c:pt idx="6">
                  <c:v>Бургас - Долно Езерово</c:v>
                </c:pt>
                <c:pt idx="7">
                  <c:v>София - ИАОС Павлово</c:v>
                </c:pt>
                <c:pt idx="8">
                  <c:v>Асеновград</c:v>
                </c:pt>
                <c:pt idx="9">
                  <c:v>Благоевград</c:v>
                </c:pt>
                <c:pt idx="10">
                  <c:v>Перник - Църква</c:v>
                </c:pt>
                <c:pt idx="11">
                  <c:v>Пловдив - Каменица</c:v>
                </c:pt>
                <c:pt idx="12">
                  <c:v>София - Хиподрума</c:v>
                </c:pt>
                <c:pt idx="13">
                  <c:v>Русе - Възраждане</c:v>
                </c:pt>
                <c:pt idx="14">
                  <c:v>Смолян</c:v>
                </c:pt>
                <c:pt idx="15">
                  <c:v>София - Младост</c:v>
                </c:pt>
                <c:pt idx="16">
                  <c:v>Хасково</c:v>
                </c:pt>
                <c:pt idx="17">
                  <c:v>София - Гара Яна</c:v>
                </c:pt>
                <c:pt idx="18">
                  <c:v>Шумен</c:v>
                </c:pt>
                <c:pt idx="19">
                  <c:v>В. Търново</c:v>
                </c:pt>
                <c:pt idx="20">
                  <c:v>Кърджали</c:v>
                </c:pt>
                <c:pt idx="21">
                  <c:v>Бургас - ДОАС</c:v>
                </c:pt>
                <c:pt idx="22">
                  <c:v>Перник - Център</c:v>
                </c:pt>
                <c:pt idx="23">
                  <c:v>Димитровград</c:v>
                </c:pt>
                <c:pt idx="24">
                  <c:v>Ловеч</c:v>
                </c:pt>
                <c:pt idx="25">
                  <c:v>Враца</c:v>
                </c:pt>
                <c:pt idx="26">
                  <c:v>Пирдоп</c:v>
                </c:pt>
                <c:pt idx="27">
                  <c:v>Добрич</c:v>
                </c:pt>
                <c:pt idx="28">
                  <c:v>Варна - Чайка</c:v>
                </c:pt>
                <c:pt idx="29">
                  <c:v>Варна - СОУ Ангел Кънчев</c:v>
                </c:pt>
                <c:pt idx="30">
                  <c:v>Девня</c:v>
                </c:pt>
                <c:pt idx="31">
                  <c:v>София - Дружба</c:v>
                </c:pt>
                <c:pt idx="32">
                  <c:v>Сливен</c:v>
                </c:pt>
                <c:pt idx="33">
                  <c:v>Гълъбово</c:v>
                </c:pt>
                <c:pt idx="34">
                  <c:v>Стара Загора</c:v>
                </c:pt>
                <c:pt idx="35">
                  <c:v>Бургас - Меден рудник</c:v>
                </c:pt>
                <c:pt idx="36">
                  <c:v>Пазарджик</c:v>
                </c:pt>
                <c:pt idx="37">
                  <c:v>Несебър</c:v>
                </c:pt>
              </c:strCache>
            </c:strRef>
          </c:cat>
          <c:val>
            <c:numRef>
              <c:f>СГН!$E$3:$E$40</c:f>
              <c:numCache>
                <c:formatCode>General</c:formatCode>
                <c:ptCount val="38"/>
                <c:pt idx="0">
                  <c:v>30.18</c:v>
                </c:pt>
                <c:pt idx="1">
                  <c:v>32.090000000000003</c:v>
                </c:pt>
                <c:pt idx="2">
                  <c:v>23.36</c:v>
                </c:pt>
                <c:pt idx="3">
                  <c:v>29.43</c:v>
                </c:pt>
                <c:pt idx="4">
                  <c:v>25.09</c:v>
                </c:pt>
                <c:pt idx="5">
                  <c:v>25.69</c:v>
                </c:pt>
                <c:pt idx="6">
                  <c:v>27.18</c:v>
                </c:pt>
                <c:pt idx="7">
                  <c:v>23.1</c:v>
                </c:pt>
                <c:pt idx="8">
                  <c:v>25.75</c:v>
                </c:pt>
                <c:pt idx="9">
                  <c:v>19.63</c:v>
                </c:pt>
                <c:pt idx="10">
                  <c:v>27.71</c:v>
                </c:pt>
                <c:pt idx="11">
                  <c:v>26.79</c:v>
                </c:pt>
                <c:pt idx="12">
                  <c:v>28.78</c:v>
                </c:pt>
                <c:pt idx="13">
                  <c:v>29.45</c:v>
                </c:pt>
                <c:pt idx="14">
                  <c:v>26.75</c:v>
                </c:pt>
                <c:pt idx="15">
                  <c:v>21.95</c:v>
                </c:pt>
                <c:pt idx="16">
                  <c:v>26.38</c:v>
                </c:pt>
                <c:pt idx="17">
                  <c:v>20.5</c:v>
                </c:pt>
                <c:pt idx="18">
                  <c:v>20.28</c:v>
                </c:pt>
                <c:pt idx="19">
                  <c:v>22.96</c:v>
                </c:pt>
                <c:pt idx="20">
                  <c:v>22.55</c:v>
                </c:pt>
                <c:pt idx="21">
                  <c:v>24.36</c:v>
                </c:pt>
                <c:pt idx="22">
                  <c:v>16.96</c:v>
                </c:pt>
                <c:pt idx="23">
                  <c:v>23.28</c:v>
                </c:pt>
                <c:pt idx="24">
                  <c:v>17.38</c:v>
                </c:pt>
                <c:pt idx="25">
                  <c:v>20.41</c:v>
                </c:pt>
                <c:pt idx="26">
                  <c:v>17.41</c:v>
                </c:pt>
                <c:pt idx="27">
                  <c:v>18.59</c:v>
                </c:pt>
                <c:pt idx="28">
                  <c:v>17.82</c:v>
                </c:pt>
                <c:pt idx="29">
                  <c:v>23.26</c:v>
                </c:pt>
                <c:pt idx="30">
                  <c:v>24.27</c:v>
                </c:pt>
                <c:pt idx="31">
                  <c:v>18.399999999999999</c:v>
                </c:pt>
                <c:pt idx="32">
                  <c:v>21.51</c:v>
                </c:pt>
                <c:pt idx="33">
                  <c:v>32.979999999999997</c:v>
                </c:pt>
                <c:pt idx="34">
                  <c:v>25.17</c:v>
                </c:pt>
                <c:pt idx="35">
                  <c:v>13.7</c:v>
                </c:pt>
                <c:pt idx="36">
                  <c:v>23.03</c:v>
                </c:pt>
                <c:pt idx="37">
                  <c:v>24</c:v>
                </c:pt>
              </c:numCache>
            </c:numRef>
          </c:val>
          <c:extLst>
            <c:ext xmlns:c16="http://schemas.microsoft.com/office/drawing/2014/chart" uri="{C3380CC4-5D6E-409C-BE32-E72D297353CC}">
              <c16:uniqueId val="{00000002-5091-4CE8-80AB-B62AB60C894F}"/>
            </c:ext>
          </c:extLst>
        </c:ser>
        <c:dLbls>
          <c:showLegendKey val="0"/>
          <c:showVal val="0"/>
          <c:showCatName val="0"/>
          <c:showSerName val="0"/>
          <c:showPercent val="0"/>
          <c:showBubbleSize val="0"/>
        </c:dLbls>
        <c:gapWidth val="219"/>
        <c:axId val="500995456"/>
        <c:axId val="500991192"/>
      </c:barChart>
      <c:lineChart>
        <c:grouping val="standard"/>
        <c:varyColors val="0"/>
        <c:ser>
          <c:idx val="3"/>
          <c:order val="3"/>
          <c:tx>
            <c:strRef>
              <c:f>СГН!$F$2</c:f>
              <c:strCache>
                <c:ptCount val="1"/>
              </c:strCache>
            </c:strRef>
          </c:tx>
          <c:spPr>
            <a:ln w="28575" cap="rnd">
              <a:solidFill>
                <a:srgbClr val="FF0000"/>
              </a:solidFill>
              <a:round/>
            </a:ln>
            <a:effectLst/>
          </c:spPr>
          <c:marker>
            <c:symbol val="none"/>
          </c:marker>
          <c:cat>
            <c:strRef>
              <c:f>СГН!$B$3:$B$40</c:f>
              <c:strCache>
                <c:ptCount val="38"/>
                <c:pt idx="0">
                  <c:v>Видин</c:v>
                </c:pt>
                <c:pt idx="1">
                  <c:v>Пловдив - ж.к. Тракия</c:v>
                </c:pt>
                <c:pt idx="2">
                  <c:v>Г. Оряховица</c:v>
                </c:pt>
                <c:pt idx="3">
                  <c:v>Монтана</c:v>
                </c:pt>
                <c:pt idx="4">
                  <c:v>Плевен</c:v>
                </c:pt>
                <c:pt idx="5">
                  <c:v>София - Надежда</c:v>
                </c:pt>
                <c:pt idx="6">
                  <c:v>Бургас - Долно Езерово</c:v>
                </c:pt>
                <c:pt idx="7">
                  <c:v>София - ИАОС Павлово</c:v>
                </c:pt>
                <c:pt idx="8">
                  <c:v>Асеновград</c:v>
                </c:pt>
                <c:pt idx="9">
                  <c:v>Благоевград</c:v>
                </c:pt>
                <c:pt idx="10">
                  <c:v>Перник - Църква</c:v>
                </c:pt>
                <c:pt idx="11">
                  <c:v>Пловдив - Каменица</c:v>
                </c:pt>
                <c:pt idx="12">
                  <c:v>София - Хиподрума</c:v>
                </c:pt>
                <c:pt idx="13">
                  <c:v>Русе - Възраждане</c:v>
                </c:pt>
                <c:pt idx="14">
                  <c:v>Смолян</c:v>
                </c:pt>
                <c:pt idx="15">
                  <c:v>София - Младост</c:v>
                </c:pt>
                <c:pt idx="16">
                  <c:v>Хасково</c:v>
                </c:pt>
                <c:pt idx="17">
                  <c:v>София - Гара Яна</c:v>
                </c:pt>
                <c:pt idx="18">
                  <c:v>Шумен</c:v>
                </c:pt>
                <c:pt idx="19">
                  <c:v>В. Търново</c:v>
                </c:pt>
                <c:pt idx="20">
                  <c:v>Кърджали</c:v>
                </c:pt>
                <c:pt idx="21">
                  <c:v>Бургас - ДОАС</c:v>
                </c:pt>
                <c:pt idx="22">
                  <c:v>Перник - Център</c:v>
                </c:pt>
                <c:pt idx="23">
                  <c:v>Димитровград</c:v>
                </c:pt>
                <c:pt idx="24">
                  <c:v>Ловеч</c:v>
                </c:pt>
                <c:pt idx="25">
                  <c:v>Враца</c:v>
                </c:pt>
                <c:pt idx="26">
                  <c:v>Пирдоп</c:v>
                </c:pt>
                <c:pt idx="27">
                  <c:v>Добрич</c:v>
                </c:pt>
                <c:pt idx="28">
                  <c:v>Варна - Чайка</c:v>
                </c:pt>
                <c:pt idx="29">
                  <c:v>Варна - СОУ Ангел Кънчев</c:v>
                </c:pt>
                <c:pt idx="30">
                  <c:v>Девня</c:v>
                </c:pt>
                <c:pt idx="31">
                  <c:v>София - Дружба</c:v>
                </c:pt>
                <c:pt idx="32">
                  <c:v>Сливен</c:v>
                </c:pt>
                <c:pt idx="33">
                  <c:v>Гълъбово</c:v>
                </c:pt>
                <c:pt idx="34">
                  <c:v>Стара Загора</c:v>
                </c:pt>
                <c:pt idx="35">
                  <c:v>Бургас - Меден рудник</c:v>
                </c:pt>
                <c:pt idx="36">
                  <c:v>Пазарджик</c:v>
                </c:pt>
                <c:pt idx="37">
                  <c:v>Несебър</c:v>
                </c:pt>
              </c:strCache>
            </c:strRef>
          </c:cat>
          <c:val>
            <c:numRef>
              <c:f>СГН!$F$3:$F$40</c:f>
              <c:numCache>
                <c:formatCode>General</c:formatCode>
                <c:ptCount val="38"/>
                <c:pt idx="0">
                  <c:v>40</c:v>
                </c:pt>
                <c:pt idx="1">
                  <c:v>40</c:v>
                </c:pt>
                <c:pt idx="2">
                  <c:v>40</c:v>
                </c:pt>
                <c:pt idx="3">
                  <c:v>40</c:v>
                </c:pt>
                <c:pt idx="4">
                  <c:v>40</c:v>
                </c:pt>
                <c:pt idx="5">
                  <c:v>40</c:v>
                </c:pt>
                <c:pt idx="6">
                  <c:v>40</c:v>
                </c:pt>
                <c:pt idx="7">
                  <c:v>40</c:v>
                </c:pt>
                <c:pt idx="8">
                  <c:v>40</c:v>
                </c:pt>
                <c:pt idx="9">
                  <c:v>40</c:v>
                </c:pt>
                <c:pt idx="10">
                  <c:v>40</c:v>
                </c:pt>
                <c:pt idx="11">
                  <c:v>40</c:v>
                </c:pt>
                <c:pt idx="12">
                  <c:v>40</c:v>
                </c:pt>
                <c:pt idx="13">
                  <c:v>40</c:v>
                </c:pt>
                <c:pt idx="14">
                  <c:v>40</c:v>
                </c:pt>
                <c:pt idx="15">
                  <c:v>40</c:v>
                </c:pt>
                <c:pt idx="16">
                  <c:v>40</c:v>
                </c:pt>
                <c:pt idx="17">
                  <c:v>40</c:v>
                </c:pt>
                <c:pt idx="18">
                  <c:v>40</c:v>
                </c:pt>
                <c:pt idx="19">
                  <c:v>40</c:v>
                </c:pt>
                <c:pt idx="20">
                  <c:v>40</c:v>
                </c:pt>
                <c:pt idx="21">
                  <c:v>40</c:v>
                </c:pt>
                <c:pt idx="22">
                  <c:v>40</c:v>
                </c:pt>
                <c:pt idx="23">
                  <c:v>40</c:v>
                </c:pt>
                <c:pt idx="24">
                  <c:v>40</c:v>
                </c:pt>
                <c:pt idx="25">
                  <c:v>40</c:v>
                </c:pt>
                <c:pt idx="26">
                  <c:v>40</c:v>
                </c:pt>
                <c:pt idx="27">
                  <c:v>40</c:v>
                </c:pt>
                <c:pt idx="28">
                  <c:v>40</c:v>
                </c:pt>
                <c:pt idx="29">
                  <c:v>40</c:v>
                </c:pt>
                <c:pt idx="30">
                  <c:v>40</c:v>
                </c:pt>
                <c:pt idx="31">
                  <c:v>40</c:v>
                </c:pt>
                <c:pt idx="32">
                  <c:v>40</c:v>
                </c:pt>
                <c:pt idx="33">
                  <c:v>40</c:v>
                </c:pt>
                <c:pt idx="34">
                  <c:v>40</c:v>
                </c:pt>
                <c:pt idx="35">
                  <c:v>40</c:v>
                </c:pt>
                <c:pt idx="36">
                  <c:v>40</c:v>
                </c:pt>
                <c:pt idx="37">
                  <c:v>40</c:v>
                </c:pt>
              </c:numCache>
            </c:numRef>
          </c:val>
          <c:smooth val="0"/>
          <c:extLst>
            <c:ext xmlns:c16="http://schemas.microsoft.com/office/drawing/2014/chart" uri="{C3380CC4-5D6E-409C-BE32-E72D297353CC}">
              <c16:uniqueId val="{00000003-5091-4CE8-80AB-B62AB60C894F}"/>
            </c:ext>
          </c:extLst>
        </c:ser>
        <c:dLbls>
          <c:showLegendKey val="0"/>
          <c:showVal val="0"/>
          <c:showCatName val="0"/>
          <c:showSerName val="0"/>
          <c:showPercent val="0"/>
          <c:showBubbleSize val="0"/>
        </c:dLbls>
        <c:marker val="1"/>
        <c:smooth val="0"/>
        <c:axId val="500995456"/>
        <c:axId val="500991192"/>
      </c:lineChart>
      <c:catAx>
        <c:axId val="50099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500991192"/>
        <c:crosses val="autoZero"/>
        <c:auto val="1"/>
        <c:lblAlgn val="ctr"/>
        <c:lblOffset val="100"/>
        <c:noMultiLvlLbl val="0"/>
      </c:catAx>
      <c:valAx>
        <c:axId val="500991192"/>
        <c:scaling>
          <c:orientation val="minMax"/>
          <c:max val="5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500995456"/>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bg-BG" sz="1800" b="0" i="0" baseline="0">
                <a:effectLst/>
              </a:rPr>
              <a:t>Брой превишения на средноденонощната норма за ФПЧ</a:t>
            </a:r>
            <a:r>
              <a:rPr lang="bg-BG" sz="1800" b="0" i="0" baseline="-25000">
                <a:effectLst/>
              </a:rPr>
              <a:t>10</a:t>
            </a:r>
            <a:r>
              <a:rPr lang="bg-BG" sz="1800" b="0" i="0" baseline="0">
                <a:effectLst/>
              </a:rPr>
              <a:t>, регистрирани през 2018г., 2022г. и 2023г.</a:t>
            </a:r>
            <a:endParaRPr lang="bg-BG">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layout>
        <c:manualLayout>
          <c:xMode val="edge"/>
          <c:yMode val="edge"/>
          <c:x val="0.10619852103191048"/>
          <c:y val="0"/>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bg-BG"/>
        </a:p>
      </c:txPr>
    </c:title>
    <c:autoTitleDeleted val="0"/>
    <c:plotArea>
      <c:layout>
        <c:manualLayout>
          <c:layoutTarget val="inner"/>
          <c:xMode val="edge"/>
          <c:yMode val="edge"/>
          <c:x val="5.8653646912556985E-2"/>
          <c:y val="0.15472244004970051"/>
          <c:w val="0.91873122150849562"/>
          <c:h val="0.39775607858021839"/>
        </c:manualLayout>
      </c:layout>
      <c:barChart>
        <c:barDir val="col"/>
        <c:grouping val="clustered"/>
        <c:varyColors val="0"/>
        <c:ser>
          <c:idx val="0"/>
          <c:order val="0"/>
          <c:tx>
            <c:strRef>
              <c:f>СДН!$C$2</c:f>
              <c:strCache>
                <c:ptCount val="1"/>
                <c:pt idx="0">
                  <c:v>2018г.</c:v>
                </c:pt>
              </c:strCache>
            </c:strRef>
          </c:tx>
          <c:spPr>
            <a:solidFill>
              <a:schemeClr val="accent1"/>
            </a:solidFill>
            <a:ln>
              <a:noFill/>
            </a:ln>
            <a:effectLst/>
          </c:spPr>
          <c:invertIfNegative val="0"/>
          <c:cat>
            <c:strRef>
              <c:f>СДН!$B$3:$B$40</c:f>
              <c:strCache>
                <c:ptCount val="38"/>
                <c:pt idx="0">
                  <c:v>Видин</c:v>
                </c:pt>
                <c:pt idx="1">
                  <c:v>Монтана</c:v>
                </c:pt>
                <c:pt idx="2">
                  <c:v>Г. Оряховица</c:v>
                </c:pt>
                <c:pt idx="3">
                  <c:v>Пловдив - ж.к. Тракия</c:v>
                </c:pt>
                <c:pt idx="4">
                  <c:v>Плевен</c:v>
                </c:pt>
                <c:pt idx="5">
                  <c:v>София - Надежда</c:v>
                </c:pt>
                <c:pt idx="6">
                  <c:v>Асеновград</c:v>
                </c:pt>
                <c:pt idx="7">
                  <c:v>Пловдив - Каменица</c:v>
                </c:pt>
                <c:pt idx="8">
                  <c:v>Благоевград</c:v>
                </c:pt>
                <c:pt idx="9">
                  <c:v>Русе - Възраждане</c:v>
                </c:pt>
                <c:pt idx="10">
                  <c:v>София - ИАОС Павлово</c:v>
                </c:pt>
                <c:pt idx="11">
                  <c:v>Хасково</c:v>
                </c:pt>
                <c:pt idx="12">
                  <c:v>Бургас - Долно Езерово</c:v>
                </c:pt>
                <c:pt idx="13">
                  <c:v>Смолян</c:v>
                </c:pt>
                <c:pt idx="14">
                  <c:v>Шумен</c:v>
                </c:pt>
                <c:pt idx="15">
                  <c:v>Перник - Църква</c:v>
                </c:pt>
                <c:pt idx="16">
                  <c:v>София - Хиподрума</c:v>
                </c:pt>
                <c:pt idx="17">
                  <c:v> В. Търново</c:v>
                </c:pt>
                <c:pt idx="18">
                  <c:v>Кърджали</c:v>
                </c:pt>
                <c:pt idx="19">
                  <c:v>Перник - Център</c:v>
                </c:pt>
                <c:pt idx="20">
                  <c:v>София -  Младост</c:v>
                </c:pt>
                <c:pt idx="21">
                  <c:v>Враца</c:v>
                </c:pt>
                <c:pt idx="22">
                  <c:v>Димитровград</c:v>
                </c:pt>
                <c:pt idx="23">
                  <c:v>Несебър</c:v>
                </c:pt>
                <c:pt idx="24">
                  <c:v>София - Гара Яна</c:v>
                </c:pt>
                <c:pt idx="25">
                  <c:v>Бургас  - ДОАС</c:v>
                </c:pt>
                <c:pt idx="26">
                  <c:v>Пазарджик</c:v>
                </c:pt>
                <c:pt idx="27">
                  <c:v>Ловеч</c:v>
                </c:pt>
                <c:pt idx="28">
                  <c:v>Варна - СОУ Ангел Кънчев</c:v>
                </c:pt>
                <c:pt idx="29">
                  <c:v>Сливен</c:v>
                </c:pt>
                <c:pt idx="30">
                  <c:v>София - Дружба</c:v>
                </c:pt>
                <c:pt idx="31">
                  <c:v>Пирдоп</c:v>
                </c:pt>
                <c:pt idx="32">
                  <c:v>Варна - Чайка</c:v>
                </c:pt>
                <c:pt idx="33">
                  <c:v>Девня</c:v>
                </c:pt>
                <c:pt idx="34">
                  <c:v>Гълъбово</c:v>
                </c:pt>
                <c:pt idx="35">
                  <c:v>Бургас - Меден рудник</c:v>
                </c:pt>
                <c:pt idx="36">
                  <c:v>Добрич</c:v>
                </c:pt>
                <c:pt idx="37">
                  <c:v>Стара Загора</c:v>
                </c:pt>
              </c:strCache>
            </c:strRef>
          </c:cat>
          <c:val>
            <c:numRef>
              <c:f>СДН!$C$3:$C$40</c:f>
              <c:numCache>
                <c:formatCode>General</c:formatCode>
                <c:ptCount val="38"/>
                <c:pt idx="0">
                  <c:v>120</c:v>
                </c:pt>
                <c:pt idx="1">
                  <c:v>111</c:v>
                </c:pt>
                <c:pt idx="2">
                  <c:v>110</c:v>
                </c:pt>
                <c:pt idx="3">
                  <c:v>107</c:v>
                </c:pt>
                <c:pt idx="4">
                  <c:v>87</c:v>
                </c:pt>
                <c:pt idx="5">
                  <c:v>82</c:v>
                </c:pt>
                <c:pt idx="6">
                  <c:v>79</c:v>
                </c:pt>
                <c:pt idx="7">
                  <c:v>78</c:v>
                </c:pt>
                <c:pt idx="8">
                  <c:v>67</c:v>
                </c:pt>
                <c:pt idx="9">
                  <c:v>64</c:v>
                </c:pt>
                <c:pt idx="10">
                  <c:v>62</c:v>
                </c:pt>
                <c:pt idx="11">
                  <c:v>62</c:v>
                </c:pt>
                <c:pt idx="12">
                  <c:v>61</c:v>
                </c:pt>
                <c:pt idx="13">
                  <c:v>58</c:v>
                </c:pt>
                <c:pt idx="14">
                  <c:v>56</c:v>
                </c:pt>
                <c:pt idx="15">
                  <c:v>55</c:v>
                </c:pt>
                <c:pt idx="16">
                  <c:v>55</c:v>
                </c:pt>
                <c:pt idx="17">
                  <c:v>48</c:v>
                </c:pt>
                <c:pt idx="18">
                  <c:v>43</c:v>
                </c:pt>
                <c:pt idx="19">
                  <c:v>41</c:v>
                </c:pt>
                <c:pt idx="20">
                  <c:v>41</c:v>
                </c:pt>
                <c:pt idx="21">
                  <c:v>38</c:v>
                </c:pt>
                <c:pt idx="22">
                  <c:v>35</c:v>
                </c:pt>
                <c:pt idx="23">
                  <c:v>35</c:v>
                </c:pt>
                <c:pt idx="24">
                  <c:v>34</c:v>
                </c:pt>
                <c:pt idx="25">
                  <c:v>31</c:v>
                </c:pt>
                <c:pt idx="26">
                  <c:v>31</c:v>
                </c:pt>
                <c:pt idx="27">
                  <c:v>30</c:v>
                </c:pt>
                <c:pt idx="28">
                  <c:v>28</c:v>
                </c:pt>
                <c:pt idx="29">
                  <c:v>23</c:v>
                </c:pt>
                <c:pt idx="30">
                  <c:v>21</c:v>
                </c:pt>
                <c:pt idx="31">
                  <c:v>20</c:v>
                </c:pt>
                <c:pt idx="32">
                  <c:v>19</c:v>
                </c:pt>
                <c:pt idx="33">
                  <c:v>18</c:v>
                </c:pt>
                <c:pt idx="34">
                  <c:v>13</c:v>
                </c:pt>
                <c:pt idx="35">
                  <c:v>10</c:v>
                </c:pt>
                <c:pt idx="36">
                  <c:v>8</c:v>
                </c:pt>
                <c:pt idx="37">
                  <c:v>5</c:v>
                </c:pt>
              </c:numCache>
            </c:numRef>
          </c:val>
          <c:extLst>
            <c:ext xmlns:c16="http://schemas.microsoft.com/office/drawing/2014/chart" uri="{C3380CC4-5D6E-409C-BE32-E72D297353CC}">
              <c16:uniqueId val="{00000000-B015-4A89-B396-0F38E76434CB}"/>
            </c:ext>
          </c:extLst>
        </c:ser>
        <c:ser>
          <c:idx val="1"/>
          <c:order val="1"/>
          <c:tx>
            <c:strRef>
              <c:f>СДН!$D$2</c:f>
              <c:strCache>
                <c:ptCount val="1"/>
                <c:pt idx="0">
                  <c:v>2022г.</c:v>
                </c:pt>
              </c:strCache>
            </c:strRef>
          </c:tx>
          <c:spPr>
            <a:solidFill>
              <a:schemeClr val="accent4"/>
            </a:solidFill>
            <a:ln>
              <a:noFill/>
            </a:ln>
            <a:effectLst/>
          </c:spPr>
          <c:invertIfNegative val="0"/>
          <c:cat>
            <c:strRef>
              <c:f>СДН!$B$3:$B$40</c:f>
              <c:strCache>
                <c:ptCount val="38"/>
                <c:pt idx="0">
                  <c:v>Видин</c:v>
                </c:pt>
                <c:pt idx="1">
                  <c:v>Монтана</c:v>
                </c:pt>
                <c:pt idx="2">
                  <c:v>Г. Оряховица</c:v>
                </c:pt>
                <c:pt idx="3">
                  <c:v>Пловдив - ж.к. Тракия</c:v>
                </c:pt>
                <c:pt idx="4">
                  <c:v>Плевен</c:v>
                </c:pt>
                <c:pt idx="5">
                  <c:v>София - Надежда</c:v>
                </c:pt>
                <c:pt idx="6">
                  <c:v>Асеновград</c:v>
                </c:pt>
                <c:pt idx="7">
                  <c:v>Пловдив - Каменица</c:v>
                </c:pt>
                <c:pt idx="8">
                  <c:v>Благоевград</c:v>
                </c:pt>
                <c:pt idx="9">
                  <c:v>Русе - Възраждане</c:v>
                </c:pt>
                <c:pt idx="10">
                  <c:v>София - ИАОС Павлово</c:v>
                </c:pt>
                <c:pt idx="11">
                  <c:v>Хасково</c:v>
                </c:pt>
                <c:pt idx="12">
                  <c:v>Бургас - Долно Езерово</c:v>
                </c:pt>
                <c:pt idx="13">
                  <c:v>Смолян</c:v>
                </c:pt>
                <c:pt idx="14">
                  <c:v>Шумен</c:v>
                </c:pt>
                <c:pt idx="15">
                  <c:v>Перник - Църква</c:v>
                </c:pt>
                <c:pt idx="16">
                  <c:v>София - Хиподрума</c:v>
                </c:pt>
                <c:pt idx="17">
                  <c:v> В. Търново</c:v>
                </c:pt>
                <c:pt idx="18">
                  <c:v>Кърджали</c:v>
                </c:pt>
                <c:pt idx="19">
                  <c:v>Перник - Център</c:v>
                </c:pt>
                <c:pt idx="20">
                  <c:v>София -  Младост</c:v>
                </c:pt>
                <c:pt idx="21">
                  <c:v>Враца</c:v>
                </c:pt>
                <c:pt idx="22">
                  <c:v>Димитровград</c:v>
                </c:pt>
                <c:pt idx="23">
                  <c:v>Несебър</c:v>
                </c:pt>
                <c:pt idx="24">
                  <c:v>София - Гара Яна</c:v>
                </c:pt>
                <c:pt idx="25">
                  <c:v>Бургас  - ДОАС</c:v>
                </c:pt>
                <c:pt idx="26">
                  <c:v>Пазарджик</c:v>
                </c:pt>
                <c:pt idx="27">
                  <c:v>Ловеч</c:v>
                </c:pt>
                <c:pt idx="28">
                  <c:v>Варна - СОУ Ангел Кънчев</c:v>
                </c:pt>
                <c:pt idx="29">
                  <c:v>Сливен</c:v>
                </c:pt>
                <c:pt idx="30">
                  <c:v>София - Дружба</c:v>
                </c:pt>
                <c:pt idx="31">
                  <c:v>Пирдоп</c:v>
                </c:pt>
                <c:pt idx="32">
                  <c:v>Варна - Чайка</c:v>
                </c:pt>
                <c:pt idx="33">
                  <c:v>Девня</c:v>
                </c:pt>
                <c:pt idx="34">
                  <c:v>Гълъбово</c:v>
                </c:pt>
                <c:pt idx="35">
                  <c:v>Бургас - Меден рудник</c:v>
                </c:pt>
                <c:pt idx="36">
                  <c:v>Добрич</c:v>
                </c:pt>
                <c:pt idx="37">
                  <c:v>Стара Загора</c:v>
                </c:pt>
              </c:strCache>
            </c:strRef>
          </c:cat>
          <c:val>
            <c:numRef>
              <c:f>СДН!$D$3:$D$40</c:f>
              <c:numCache>
                <c:formatCode>General</c:formatCode>
                <c:ptCount val="38"/>
                <c:pt idx="0">
                  <c:v>29</c:v>
                </c:pt>
                <c:pt idx="1">
                  <c:v>42</c:v>
                </c:pt>
                <c:pt idx="2">
                  <c:v>30</c:v>
                </c:pt>
                <c:pt idx="3">
                  <c:v>64</c:v>
                </c:pt>
                <c:pt idx="4">
                  <c:v>20</c:v>
                </c:pt>
                <c:pt idx="5">
                  <c:v>35</c:v>
                </c:pt>
                <c:pt idx="6">
                  <c:v>25</c:v>
                </c:pt>
                <c:pt idx="7">
                  <c:v>32</c:v>
                </c:pt>
                <c:pt idx="8">
                  <c:v>8</c:v>
                </c:pt>
                <c:pt idx="9">
                  <c:v>60</c:v>
                </c:pt>
                <c:pt idx="10">
                  <c:v>19</c:v>
                </c:pt>
                <c:pt idx="11">
                  <c:v>29</c:v>
                </c:pt>
                <c:pt idx="12">
                  <c:v>26</c:v>
                </c:pt>
                <c:pt idx="13">
                  <c:v>43</c:v>
                </c:pt>
                <c:pt idx="14">
                  <c:v>10</c:v>
                </c:pt>
                <c:pt idx="15">
                  <c:v>35</c:v>
                </c:pt>
                <c:pt idx="16">
                  <c:v>29</c:v>
                </c:pt>
                <c:pt idx="17">
                  <c:v>23</c:v>
                </c:pt>
                <c:pt idx="18">
                  <c:v>8</c:v>
                </c:pt>
                <c:pt idx="19">
                  <c:v>16</c:v>
                </c:pt>
                <c:pt idx="20">
                  <c:v>8</c:v>
                </c:pt>
                <c:pt idx="21">
                  <c:v>7</c:v>
                </c:pt>
                <c:pt idx="22">
                  <c:v>0</c:v>
                </c:pt>
                <c:pt idx="23">
                  <c:v>5</c:v>
                </c:pt>
                <c:pt idx="24">
                  <c:v>15</c:v>
                </c:pt>
                <c:pt idx="25">
                  <c:v>21</c:v>
                </c:pt>
                <c:pt idx="26">
                  <c:v>13</c:v>
                </c:pt>
                <c:pt idx="27">
                  <c:v>0</c:v>
                </c:pt>
                <c:pt idx="28">
                  <c:v>10</c:v>
                </c:pt>
                <c:pt idx="29">
                  <c:v>0</c:v>
                </c:pt>
                <c:pt idx="30">
                  <c:v>14</c:v>
                </c:pt>
                <c:pt idx="31">
                  <c:v>5</c:v>
                </c:pt>
                <c:pt idx="32">
                  <c:v>3</c:v>
                </c:pt>
                <c:pt idx="33">
                  <c:v>11</c:v>
                </c:pt>
                <c:pt idx="34">
                  <c:v>1</c:v>
                </c:pt>
                <c:pt idx="35">
                  <c:v>3</c:v>
                </c:pt>
                <c:pt idx="36">
                  <c:v>1</c:v>
                </c:pt>
                <c:pt idx="37">
                  <c:v>16</c:v>
                </c:pt>
              </c:numCache>
            </c:numRef>
          </c:val>
          <c:extLst>
            <c:ext xmlns:c16="http://schemas.microsoft.com/office/drawing/2014/chart" uri="{C3380CC4-5D6E-409C-BE32-E72D297353CC}">
              <c16:uniqueId val="{00000001-B015-4A89-B396-0F38E76434CB}"/>
            </c:ext>
          </c:extLst>
        </c:ser>
        <c:ser>
          <c:idx val="2"/>
          <c:order val="2"/>
          <c:tx>
            <c:strRef>
              <c:f>СДН!$E$2</c:f>
              <c:strCache>
                <c:ptCount val="1"/>
                <c:pt idx="0">
                  <c:v>2023г.</c:v>
                </c:pt>
              </c:strCache>
            </c:strRef>
          </c:tx>
          <c:spPr>
            <a:solidFill>
              <a:schemeClr val="accent6"/>
            </a:solidFill>
            <a:ln>
              <a:noFill/>
            </a:ln>
            <a:effectLst/>
          </c:spPr>
          <c:invertIfNegative val="0"/>
          <c:cat>
            <c:strRef>
              <c:f>СДН!$B$3:$B$40</c:f>
              <c:strCache>
                <c:ptCount val="38"/>
                <c:pt idx="0">
                  <c:v>Видин</c:v>
                </c:pt>
                <c:pt idx="1">
                  <c:v>Монтана</c:v>
                </c:pt>
                <c:pt idx="2">
                  <c:v>Г. Оряховица</c:v>
                </c:pt>
                <c:pt idx="3">
                  <c:v>Пловдив - ж.к. Тракия</c:v>
                </c:pt>
                <c:pt idx="4">
                  <c:v>Плевен</c:v>
                </c:pt>
                <c:pt idx="5">
                  <c:v>София - Надежда</c:v>
                </c:pt>
                <c:pt idx="6">
                  <c:v>Асеновград</c:v>
                </c:pt>
                <c:pt idx="7">
                  <c:v>Пловдив - Каменица</c:v>
                </c:pt>
                <c:pt idx="8">
                  <c:v>Благоевград</c:v>
                </c:pt>
                <c:pt idx="9">
                  <c:v>Русе - Възраждане</c:v>
                </c:pt>
                <c:pt idx="10">
                  <c:v>София - ИАОС Павлово</c:v>
                </c:pt>
                <c:pt idx="11">
                  <c:v>Хасково</c:v>
                </c:pt>
                <c:pt idx="12">
                  <c:v>Бургас - Долно Езерово</c:v>
                </c:pt>
                <c:pt idx="13">
                  <c:v>Смолян</c:v>
                </c:pt>
                <c:pt idx="14">
                  <c:v>Шумен</c:v>
                </c:pt>
                <c:pt idx="15">
                  <c:v>Перник - Църква</c:v>
                </c:pt>
                <c:pt idx="16">
                  <c:v>София - Хиподрума</c:v>
                </c:pt>
                <c:pt idx="17">
                  <c:v> В. Търново</c:v>
                </c:pt>
                <c:pt idx="18">
                  <c:v>Кърджали</c:v>
                </c:pt>
                <c:pt idx="19">
                  <c:v>Перник - Център</c:v>
                </c:pt>
                <c:pt idx="20">
                  <c:v>София -  Младост</c:v>
                </c:pt>
                <c:pt idx="21">
                  <c:v>Враца</c:v>
                </c:pt>
                <c:pt idx="22">
                  <c:v>Димитровград</c:v>
                </c:pt>
                <c:pt idx="23">
                  <c:v>Несебър</c:v>
                </c:pt>
                <c:pt idx="24">
                  <c:v>София - Гара Яна</c:v>
                </c:pt>
                <c:pt idx="25">
                  <c:v>Бургас  - ДОАС</c:v>
                </c:pt>
                <c:pt idx="26">
                  <c:v>Пазарджик</c:v>
                </c:pt>
                <c:pt idx="27">
                  <c:v>Ловеч</c:v>
                </c:pt>
                <c:pt idx="28">
                  <c:v>Варна - СОУ Ангел Кънчев</c:v>
                </c:pt>
                <c:pt idx="29">
                  <c:v>Сливен</c:v>
                </c:pt>
                <c:pt idx="30">
                  <c:v>София - Дружба</c:v>
                </c:pt>
                <c:pt idx="31">
                  <c:v>Пирдоп</c:v>
                </c:pt>
                <c:pt idx="32">
                  <c:v>Варна - Чайка</c:v>
                </c:pt>
                <c:pt idx="33">
                  <c:v>Девня</c:v>
                </c:pt>
                <c:pt idx="34">
                  <c:v>Гълъбово</c:v>
                </c:pt>
                <c:pt idx="35">
                  <c:v>Бургас - Меден рудник</c:v>
                </c:pt>
                <c:pt idx="36">
                  <c:v>Добрич</c:v>
                </c:pt>
                <c:pt idx="37">
                  <c:v>Стара Загора</c:v>
                </c:pt>
              </c:strCache>
            </c:strRef>
          </c:cat>
          <c:val>
            <c:numRef>
              <c:f>СДН!$E$3:$E$40</c:f>
              <c:numCache>
                <c:formatCode>General</c:formatCode>
                <c:ptCount val="38"/>
                <c:pt idx="0">
                  <c:v>29</c:v>
                </c:pt>
                <c:pt idx="1">
                  <c:v>34</c:v>
                </c:pt>
                <c:pt idx="2">
                  <c:v>16</c:v>
                </c:pt>
                <c:pt idx="3">
                  <c:v>42</c:v>
                </c:pt>
                <c:pt idx="4">
                  <c:v>15</c:v>
                </c:pt>
                <c:pt idx="5">
                  <c:v>18</c:v>
                </c:pt>
                <c:pt idx="6">
                  <c:v>21</c:v>
                </c:pt>
                <c:pt idx="7">
                  <c:v>28</c:v>
                </c:pt>
                <c:pt idx="8">
                  <c:v>7</c:v>
                </c:pt>
                <c:pt idx="9">
                  <c:v>25</c:v>
                </c:pt>
                <c:pt idx="10">
                  <c:v>11</c:v>
                </c:pt>
                <c:pt idx="11">
                  <c:v>23</c:v>
                </c:pt>
                <c:pt idx="12">
                  <c:v>14</c:v>
                </c:pt>
                <c:pt idx="13">
                  <c:v>26</c:v>
                </c:pt>
                <c:pt idx="14">
                  <c:v>3</c:v>
                </c:pt>
                <c:pt idx="15">
                  <c:v>27</c:v>
                </c:pt>
                <c:pt idx="16">
                  <c:v>23</c:v>
                </c:pt>
                <c:pt idx="17">
                  <c:v>8</c:v>
                </c:pt>
                <c:pt idx="18">
                  <c:v>6</c:v>
                </c:pt>
                <c:pt idx="19">
                  <c:v>1</c:v>
                </c:pt>
                <c:pt idx="20">
                  <c:v>7</c:v>
                </c:pt>
                <c:pt idx="21">
                  <c:v>2</c:v>
                </c:pt>
                <c:pt idx="22">
                  <c:v>10</c:v>
                </c:pt>
                <c:pt idx="23">
                  <c:v>4</c:v>
                </c:pt>
                <c:pt idx="24">
                  <c:v>7</c:v>
                </c:pt>
                <c:pt idx="25">
                  <c:v>1</c:v>
                </c:pt>
                <c:pt idx="26">
                  <c:v>12</c:v>
                </c:pt>
                <c:pt idx="27">
                  <c:v>0</c:v>
                </c:pt>
                <c:pt idx="28">
                  <c:v>8</c:v>
                </c:pt>
                <c:pt idx="29">
                  <c:v>10</c:v>
                </c:pt>
                <c:pt idx="30">
                  <c:v>6</c:v>
                </c:pt>
                <c:pt idx="31">
                  <c:v>3</c:v>
                </c:pt>
                <c:pt idx="32">
                  <c:v>3</c:v>
                </c:pt>
                <c:pt idx="33">
                  <c:v>6</c:v>
                </c:pt>
                <c:pt idx="34">
                  <c:v>8</c:v>
                </c:pt>
                <c:pt idx="35">
                  <c:v>1</c:v>
                </c:pt>
                <c:pt idx="36">
                  <c:v>0</c:v>
                </c:pt>
                <c:pt idx="37">
                  <c:v>17</c:v>
                </c:pt>
              </c:numCache>
            </c:numRef>
          </c:val>
          <c:extLst>
            <c:ext xmlns:c16="http://schemas.microsoft.com/office/drawing/2014/chart" uri="{C3380CC4-5D6E-409C-BE32-E72D297353CC}">
              <c16:uniqueId val="{00000002-B015-4A89-B396-0F38E76434CB}"/>
            </c:ext>
          </c:extLst>
        </c:ser>
        <c:dLbls>
          <c:showLegendKey val="0"/>
          <c:showVal val="0"/>
          <c:showCatName val="0"/>
          <c:showSerName val="0"/>
          <c:showPercent val="0"/>
          <c:showBubbleSize val="0"/>
        </c:dLbls>
        <c:gapWidth val="219"/>
        <c:axId val="509804704"/>
        <c:axId val="509806016"/>
      </c:barChart>
      <c:lineChart>
        <c:grouping val="standard"/>
        <c:varyColors val="0"/>
        <c:ser>
          <c:idx val="3"/>
          <c:order val="3"/>
          <c:tx>
            <c:strRef>
              <c:f>СДН!$F$2</c:f>
              <c:strCache>
                <c:ptCount val="1"/>
              </c:strCache>
            </c:strRef>
          </c:tx>
          <c:spPr>
            <a:ln w="28575" cap="rnd">
              <a:solidFill>
                <a:srgbClr val="FF0000"/>
              </a:solidFill>
              <a:round/>
            </a:ln>
            <a:effectLst/>
          </c:spPr>
          <c:marker>
            <c:symbol val="none"/>
          </c:marker>
          <c:cat>
            <c:strRef>
              <c:f>СДН!$B$3:$B$40</c:f>
              <c:strCache>
                <c:ptCount val="38"/>
                <c:pt idx="0">
                  <c:v>Видин</c:v>
                </c:pt>
                <c:pt idx="1">
                  <c:v>Монтана</c:v>
                </c:pt>
                <c:pt idx="2">
                  <c:v>Г. Оряховица</c:v>
                </c:pt>
                <c:pt idx="3">
                  <c:v>Пловдив - ж.к. Тракия</c:v>
                </c:pt>
                <c:pt idx="4">
                  <c:v>Плевен</c:v>
                </c:pt>
                <c:pt idx="5">
                  <c:v>София - Надежда</c:v>
                </c:pt>
                <c:pt idx="6">
                  <c:v>Асеновград</c:v>
                </c:pt>
                <c:pt idx="7">
                  <c:v>Пловдив - Каменица</c:v>
                </c:pt>
                <c:pt idx="8">
                  <c:v>Благоевград</c:v>
                </c:pt>
                <c:pt idx="9">
                  <c:v>Русе - Възраждане</c:v>
                </c:pt>
                <c:pt idx="10">
                  <c:v>София - ИАОС Павлово</c:v>
                </c:pt>
                <c:pt idx="11">
                  <c:v>Хасково</c:v>
                </c:pt>
                <c:pt idx="12">
                  <c:v>Бургас - Долно Езерово</c:v>
                </c:pt>
                <c:pt idx="13">
                  <c:v>Смолян</c:v>
                </c:pt>
                <c:pt idx="14">
                  <c:v>Шумен</c:v>
                </c:pt>
                <c:pt idx="15">
                  <c:v>Перник - Църква</c:v>
                </c:pt>
                <c:pt idx="16">
                  <c:v>София - Хиподрума</c:v>
                </c:pt>
                <c:pt idx="17">
                  <c:v> В. Търново</c:v>
                </c:pt>
                <c:pt idx="18">
                  <c:v>Кърджали</c:v>
                </c:pt>
                <c:pt idx="19">
                  <c:v>Перник - Център</c:v>
                </c:pt>
                <c:pt idx="20">
                  <c:v>София -  Младост</c:v>
                </c:pt>
                <c:pt idx="21">
                  <c:v>Враца</c:v>
                </c:pt>
                <c:pt idx="22">
                  <c:v>Димитровград</c:v>
                </c:pt>
                <c:pt idx="23">
                  <c:v>Несебър</c:v>
                </c:pt>
                <c:pt idx="24">
                  <c:v>София - Гара Яна</c:v>
                </c:pt>
                <c:pt idx="25">
                  <c:v>Бургас  - ДОАС</c:v>
                </c:pt>
                <c:pt idx="26">
                  <c:v>Пазарджик</c:v>
                </c:pt>
                <c:pt idx="27">
                  <c:v>Ловеч</c:v>
                </c:pt>
                <c:pt idx="28">
                  <c:v>Варна - СОУ Ангел Кънчев</c:v>
                </c:pt>
                <c:pt idx="29">
                  <c:v>Сливен</c:v>
                </c:pt>
                <c:pt idx="30">
                  <c:v>София - Дружба</c:v>
                </c:pt>
                <c:pt idx="31">
                  <c:v>Пирдоп</c:v>
                </c:pt>
                <c:pt idx="32">
                  <c:v>Варна - Чайка</c:v>
                </c:pt>
                <c:pt idx="33">
                  <c:v>Девня</c:v>
                </c:pt>
                <c:pt idx="34">
                  <c:v>Гълъбово</c:v>
                </c:pt>
                <c:pt idx="35">
                  <c:v>Бургас - Меден рудник</c:v>
                </c:pt>
                <c:pt idx="36">
                  <c:v>Добрич</c:v>
                </c:pt>
                <c:pt idx="37">
                  <c:v>Стара Загора</c:v>
                </c:pt>
              </c:strCache>
            </c:strRef>
          </c:cat>
          <c:val>
            <c:numRef>
              <c:f>СДН!$F$3:$F$40</c:f>
              <c:numCache>
                <c:formatCode>General</c:formatCode>
                <c:ptCount val="38"/>
                <c:pt idx="0">
                  <c:v>35</c:v>
                </c:pt>
                <c:pt idx="1">
                  <c:v>35</c:v>
                </c:pt>
                <c:pt idx="2">
                  <c:v>35</c:v>
                </c:pt>
                <c:pt idx="3">
                  <c:v>35</c:v>
                </c:pt>
                <c:pt idx="4">
                  <c:v>35</c:v>
                </c:pt>
                <c:pt idx="5">
                  <c:v>35</c:v>
                </c:pt>
                <c:pt idx="6">
                  <c:v>35</c:v>
                </c:pt>
                <c:pt idx="7">
                  <c:v>35</c:v>
                </c:pt>
                <c:pt idx="8">
                  <c:v>35</c:v>
                </c:pt>
                <c:pt idx="9">
                  <c:v>35</c:v>
                </c:pt>
                <c:pt idx="10">
                  <c:v>35</c:v>
                </c:pt>
                <c:pt idx="11">
                  <c:v>35</c:v>
                </c:pt>
                <c:pt idx="12">
                  <c:v>35</c:v>
                </c:pt>
                <c:pt idx="13">
                  <c:v>35</c:v>
                </c:pt>
                <c:pt idx="14">
                  <c:v>35</c:v>
                </c:pt>
                <c:pt idx="15">
                  <c:v>35</c:v>
                </c:pt>
                <c:pt idx="16">
                  <c:v>35</c:v>
                </c:pt>
                <c:pt idx="17">
                  <c:v>35</c:v>
                </c:pt>
                <c:pt idx="18">
                  <c:v>35</c:v>
                </c:pt>
                <c:pt idx="19">
                  <c:v>35</c:v>
                </c:pt>
                <c:pt idx="20">
                  <c:v>35</c:v>
                </c:pt>
                <c:pt idx="21">
                  <c:v>35</c:v>
                </c:pt>
                <c:pt idx="22">
                  <c:v>35</c:v>
                </c:pt>
                <c:pt idx="23">
                  <c:v>35</c:v>
                </c:pt>
                <c:pt idx="24">
                  <c:v>35</c:v>
                </c:pt>
                <c:pt idx="25">
                  <c:v>35</c:v>
                </c:pt>
                <c:pt idx="26">
                  <c:v>35</c:v>
                </c:pt>
                <c:pt idx="27">
                  <c:v>35</c:v>
                </c:pt>
                <c:pt idx="28">
                  <c:v>35</c:v>
                </c:pt>
                <c:pt idx="29">
                  <c:v>35</c:v>
                </c:pt>
                <c:pt idx="30">
                  <c:v>35</c:v>
                </c:pt>
                <c:pt idx="31">
                  <c:v>35</c:v>
                </c:pt>
                <c:pt idx="32">
                  <c:v>35</c:v>
                </c:pt>
                <c:pt idx="33">
                  <c:v>35</c:v>
                </c:pt>
                <c:pt idx="34">
                  <c:v>35</c:v>
                </c:pt>
                <c:pt idx="35">
                  <c:v>35</c:v>
                </c:pt>
                <c:pt idx="36">
                  <c:v>35</c:v>
                </c:pt>
                <c:pt idx="37">
                  <c:v>35</c:v>
                </c:pt>
              </c:numCache>
            </c:numRef>
          </c:val>
          <c:smooth val="0"/>
          <c:extLst>
            <c:ext xmlns:c16="http://schemas.microsoft.com/office/drawing/2014/chart" uri="{C3380CC4-5D6E-409C-BE32-E72D297353CC}">
              <c16:uniqueId val="{00000003-B015-4A89-B396-0F38E76434CB}"/>
            </c:ext>
          </c:extLst>
        </c:ser>
        <c:dLbls>
          <c:showLegendKey val="0"/>
          <c:showVal val="0"/>
          <c:showCatName val="0"/>
          <c:showSerName val="0"/>
          <c:showPercent val="0"/>
          <c:showBubbleSize val="0"/>
        </c:dLbls>
        <c:marker val="1"/>
        <c:smooth val="0"/>
        <c:axId val="509804704"/>
        <c:axId val="509806016"/>
      </c:lineChart>
      <c:catAx>
        <c:axId val="50980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509806016"/>
        <c:crosses val="autoZero"/>
        <c:auto val="1"/>
        <c:lblAlgn val="ctr"/>
        <c:lblOffset val="100"/>
        <c:noMultiLvlLbl val="0"/>
      </c:catAx>
      <c:valAx>
        <c:axId val="509806016"/>
        <c:scaling>
          <c:orientation val="minMax"/>
          <c:max val="12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509804704"/>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0.10431</cdr:y>
    </cdr:from>
    <cdr:to>
      <cdr:x>0.05414</cdr:x>
      <cdr:y>0.17397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438150"/>
          <a:ext cx="463336" cy="292633"/>
        </a:xfrm>
        <a:prstGeom xmlns:a="http://schemas.openxmlformats.org/drawingml/2006/main" prst="rect">
          <a:avLst/>
        </a:prstGeom>
      </cdr:spPr>
    </cdr:pic>
  </cdr:relSizeAnchor>
  <cdr:relSizeAnchor xmlns:cdr="http://schemas.openxmlformats.org/drawingml/2006/chartDrawing">
    <cdr:from>
      <cdr:x>0.64331</cdr:x>
      <cdr:y>0.15178</cdr:y>
    </cdr:from>
    <cdr:to>
      <cdr:x>0.90705</cdr:x>
      <cdr:y>0.35803</cdr:y>
    </cdr:to>
    <cdr:sp macro="" textlink="">
      <cdr:nvSpPr>
        <cdr:cNvPr id="3" name="Oval Callout 2"/>
        <cdr:cNvSpPr/>
      </cdr:nvSpPr>
      <cdr:spPr>
        <a:xfrm xmlns:a="http://schemas.openxmlformats.org/drawingml/2006/main">
          <a:off x="4117281" y="632540"/>
          <a:ext cx="1687965" cy="859555"/>
        </a:xfrm>
        <a:prstGeom xmlns:a="http://schemas.openxmlformats.org/drawingml/2006/main" prst="wedgeEllipseCallout">
          <a:avLst/>
        </a:prstGeom>
        <a:noFill xmlns:a="http://schemas.openxmlformats.org/drawingml/2006/main"/>
        <a:ln xmlns:a="http://schemas.openxmlformats.org/drawingml/2006/main" w="28575">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bg-BG" sz="1000">
              <a:solidFill>
                <a:sysClr val="windowText" lastClr="000000"/>
              </a:solidFill>
            </a:rPr>
            <a:t>Средногодишна норма - 40</a:t>
          </a:r>
          <a:r>
            <a:rPr lang="bg-BG" sz="1000">
              <a:solidFill>
                <a:sysClr val="windowText" lastClr="000000"/>
              </a:solidFill>
              <a:latin typeface="Calibri" panose="020F0502020204030204" pitchFamily="34" charset="0"/>
              <a:cs typeface="Calibri" panose="020F0502020204030204" pitchFamily="34" charset="0"/>
            </a:rPr>
            <a:t>µ</a:t>
          </a:r>
          <a:r>
            <a:rPr lang="en-US" sz="1000">
              <a:solidFill>
                <a:sysClr val="windowText" lastClr="000000"/>
              </a:solidFill>
              <a:latin typeface="Calibri" panose="020F0502020204030204" pitchFamily="34" charset="0"/>
              <a:cs typeface="Calibri" panose="020F0502020204030204" pitchFamily="34" charset="0"/>
            </a:rPr>
            <a:t>g/m3</a:t>
          </a:r>
          <a:endParaRPr lang="bg-BG" sz="1000">
            <a:solidFill>
              <a:sysClr val="windowText" lastClr="000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0.68144</cdr:x>
      <cdr:y>0.17337</cdr:y>
    </cdr:from>
    <cdr:to>
      <cdr:x>0.89431</cdr:x>
      <cdr:y>0.40131</cdr:y>
    </cdr:to>
    <cdr:sp macro="" textlink="">
      <cdr:nvSpPr>
        <cdr:cNvPr id="2" name="Oval Callout 1"/>
        <cdr:cNvSpPr/>
      </cdr:nvSpPr>
      <cdr:spPr>
        <a:xfrm xmlns:a="http://schemas.openxmlformats.org/drawingml/2006/main">
          <a:off x="4180471" y="726283"/>
          <a:ext cx="1305875" cy="954860"/>
        </a:xfrm>
        <a:prstGeom xmlns:a="http://schemas.openxmlformats.org/drawingml/2006/main" prst="wedgeEllipseCallout">
          <a:avLst/>
        </a:prstGeom>
        <a:noFill xmlns:a="http://schemas.openxmlformats.org/drawingml/2006/main"/>
        <a:ln xmlns:a="http://schemas.openxmlformats.org/drawingml/2006/main" w="28575">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bg-BG" sz="1000">
              <a:solidFill>
                <a:sysClr val="windowText" lastClr="000000"/>
              </a:solidFill>
            </a:rPr>
            <a:t>Допустим бр. превишения: 35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559E0-5395-438B-AE9E-F3B04A26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7425</Words>
  <Characters>42325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49651</CharactersWithSpaces>
  <SharedDoc>false</SharedDoc>
  <HLinks>
    <vt:vector size="108" baseType="variant">
      <vt:variant>
        <vt:i4>5898304</vt:i4>
      </vt:variant>
      <vt:variant>
        <vt:i4>54</vt:i4>
      </vt:variant>
      <vt:variant>
        <vt:i4>0</vt:i4>
      </vt:variant>
      <vt:variant>
        <vt:i4>5</vt:i4>
      </vt:variant>
      <vt:variant>
        <vt:lpwstr>https://nnpos.wordpress.com/</vt:lpwstr>
      </vt:variant>
      <vt:variant>
        <vt:lpwstr/>
      </vt:variant>
      <vt:variant>
        <vt:i4>8126557</vt:i4>
      </vt:variant>
      <vt:variant>
        <vt:i4>51</vt:i4>
      </vt:variant>
      <vt:variant>
        <vt:i4>0</vt:i4>
      </vt:variant>
      <vt:variant>
        <vt:i4>5</vt:i4>
      </vt:variant>
      <vt:variant>
        <vt:lpwstr>https://doi.org/10.1007/978-3-031-26754-3_17</vt:lpwstr>
      </vt:variant>
      <vt:variant>
        <vt:lpwstr/>
      </vt:variant>
      <vt:variant>
        <vt:i4>1048668</vt:i4>
      </vt:variant>
      <vt:variant>
        <vt:i4>48</vt:i4>
      </vt:variant>
      <vt:variant>
        <vt:i4>0</vt:i4>
      </vt:variant>
      <vt:variant>
        <vt:i4>5</vt:i4>
      </vt:variant>
      <vt:variant>
        <vt:lpwstr>https://doi.org/10.2478/aiht-2023-74-3704</vt:lpwstr>
      </vt:variant>
      <vt:variant>
        <vt:lpwstr/>
      </vt:variant>
      <vt:variant>
        <vt:i4>3407922</vt:i4>
      </vt:variant>
      <vt:variant>
        <vt:i4>45</vt:i4>
      </vt:variant>
      <vt:variant>
        <vt:i4>0</vt:i4>
      </vt:variant>
      <vt:variant>
        <vt:i4>5</vt:i4>
      </vt:variant>
      <vt:variant>
        <vt:lpwstr>https://plovdivcentral.org/wp-content/uploads/2023/11/Saobshtenie-vav-vrazka-s-chl.-6-al.-4-ot-Naredba-6-ot-7-oktomvri-2019-g.-za-iziskvaniyata-i-kontrola-varhu-darvesinata-koyato-se-izpolzva-za-bit.pdf</vt:lpwstr>
      </vt:variant>
      <vt:variant>
        <vt:lpwstr/>
      </vt:variant>
      <vt:variant>
        <vt:i4>6619197</vt:i4>
      </vt:variant>
      <vt:variant>
        <vt:i4>42</vt:i4>
      </vt:variant>
      <vt:variant>
        <vt:i4>0</vt:i4>
      </vt:variant>
      <vt:variant>
        <vt:i4>5</vt:i4>
      </vt:variant>
      <vt:variant>
        <vt:lpwstr>http://www.strategy.bg/StrategicDocuments/View.aspx?lang=bg-BG&amp;Id=1288</vt:lpwstr>
      </vt:variant>
      <vt:variant>
        <vt:lpwstr/>
      </vt:variant>
      <vt:variant>
        <vt:i4>72220718</vt:i4>
      </vt:variant>
      <vt:variant>
        <vt:i4>38</vt:i4>
      </vt:variant>
      <vt:variant>
        <vt:i4>0</vt:i4>
      </vt:variant>
      <vt:variant>
        <vt:i4>5</vt:i4>
      </vt:variant>
      <vt:variant>
        <vt:lpwstr/>
      </vt:variant>
      <vt:variant>
        <vt:lpwstr>_ЗАКЛЮЧЕНИЕ</vt:lpwstr>
      </vt:variant>
      <vt:variant>
        <vt:i4>69861459</vt:i4>
      </vt:variant>
      <vt:variant>
        <vt:i4>35</vt:i4>
      </vt:variant>
      <vt:variant>
        <vt:i4>0</vt:i4>
      </vt:variant>
      <vt:variant>
        <vt:i4>5</vt:i4>
      </vt:variant>
      <vt:variant>
        <vt:lpwstr/>
      </vt:variant>
      <vt:variant>
        <vt:lpwstr>_4._НАПРЕДЪК_ПО</vt:lpwstr>
      </vt:variant>
      <vt:variant>
        <vt:i4>70058028</vt:i4>
      </vt:variant>
      <vt:variant>
        <vt:i4>32</vt:i4>
      </vt:variant>
      <vt:variant>
        <vt:i4>0</vt:i4>
      </vt:variant>
      <vt:variant>
        <vt:i4>5</vt:i4>
      </vt:variant>
      <vt:variant>
        <vt:lpwstr/>
      </vt:variant>
      <vt:variant>
        <vt:lpwstr>_3._ХОРИЗОНТАЛНИ_И</vt:lpwstr>
      </vt:variant>
      <vt:variant>
        <vt:i4>2031676</vt:i4>
      </vt:variant>
      <vt:variant>
        <vt:i4>26</vt:i4>
      </vt:variant>
      <vt:variant>
        <vt:i4>0</vt:i4>
      </vt:variant>
      <vt:variant>
        <vt:i4>5</vt:i4>
      </vt:variant>
      <vt:variant>
        <vt:lpwstr/>
      </vt:variant>
      <vt:variant>
        <vt:lpwstr>_Toc118121790</vt:lpwstr>
      </vt:variant>
      <vt:variant>
        <vt:i4>1966140</vt:i4>
      </vt:variant>
      <vt:variant>
        <vt:i4>20</vt:i4>
      </vt:variant>
      <vt:variant>
        <vt:i4>0</vt:i4>
      </vt:variant>
      <vt:variant>
        <vt:i4>5</vt:i4>
      </vt:variant>
      <vt:variant>
        <vt:lpwstr/>
      </vt:variant>
      <vt:variant>
        <vt:lpwstr>_Toc118121789</vt:lpwstr>
      </vt:variant>
      <vt:variant>
        <vt:i4>1966140</vt:i4>
      </vt:variant>
      <vt:variant>
        <vt:i4>14</vt:i4>
      </vt:variant>
      <vt:variant>
        <vt:i4>0</vt:i4>
      </vt:variant>
      <vt:variant>
        <vt:i4>5</vt:i4>
      </vt:variant>
      <vt:variant>
        <vt:lpwstr/>
      </vt:variant>
      <vt:variant>
        <vt:lpwstr>_Toc118121788</vt:lpwstr>
      </vt:variant>
      <vt:variant>
        <vt:i4>1966140</vt:i4>
      </vt:variant>
      <vt:variant>
        <vt:i4>8</vt:i4>
      </vt:variant>
      <vt:variant>
        <vt:i4>0</vt:i4>
      </vt:variant>
      <vt:variant>
        <vt:i4>5</vt:i4>
      </vt:variant>
      <vt:variant>
        <vt:lpwstr/>
      </vt:variant>
      <vt:variant>
        <vt:lpwstr>_Toc118121787</vt:lpwstr>
      </vt:variant>
      <vt:variant>
        <vt:i4>1966140</vt:i4>
      </vt:variant>
      <vt:variant>
        <vt:i4>2</vt:i4>
      </vt:variant>
      <vt:variant>
        <vt:i4>0</vt:i4>
      </vt:variant>
      <vt:variant>
        <vt:i4>5</vt:i4>
      </vt:variant>
      <vt:variant>
        <vt:lpwstr/>
      </vt:variant>
      <vt:variant>
        <vt:lpwstr>_Toc118121786</vt:lpwstr>
      </vt:variant>
      <vt:variant>
        <vt:i4>7405627</vt:i4>
      </vt:variant>
      <vt:variant>
        <vt:i4>12</vt:i4>
      </vt:variant>
      <vt:variant>
        <vt:i4>0</vt:i4>
      </vt:variant>
      <vt:variant>
        <vt:i4>5</vt:i4>
      </vt:variant>
      <vt:variant>
        <vt:lpwstr>https://www.sofia.bg/en/low-emission-zones</vt:lpwstr>
      </vt:variant>
      <vt:variant>
        <vt:lpwstr/>
      </vt:variant>
      <vt:variant>
        <vt:i4>7340149</vt:i4>
      </vt:variant>
      <vt:variant>
        <vt:i4>9</vt:i4>
      </vt:variant>
      <vt:variant>
        <vt:i4>0</vt:i4>
      </vt:variant>
      <vt:variant>
        <vt:i4>5</vt:i4>
      </vt:variant>
      <vt:variant>
        <vt:lpwstr>https://air2.sofia.bg/airpublic/low/emission/zones/</vt:lpwstr>
      </vt:variant>
      <vt:variant>
        <vt:lpwstr/>
      </vt:variant>
      <vt:variant>
        <vt:i4>3735673</vt:i4>
      </vt:variant>
      <vt:variant>
        <vt:i4>6</vt:i4>
      </vt:variant>
      <vt:variant>
        <vt:i4>0</vt:i4>
      </vt:variant>
      <vt:variant>
        <vt:i4>5</vt:i4>
      </vt:variant>
      <vt:variant>
        <vt:lpwstr>https://lifeipcleanair.eu/</vt:lpwstr>
      </vt:variant>
      <vt:variant>
        <vt:lpwstr/>
      </vt:variant>
      <vt:variant>
        <vt:i4>7602192</vt:i4>
      </vt:variant>
      <vt:variant>
        <vt:i4>3</vt:i4>
      </vt:variant>
      <vt:variant>
        <vt:i4>0</vt:i4>
      </vt:variant>
      <vt:variant>
        <vt:i4>5</vt:i4>
      </vt:variant>
      <vt:variant>
        <vt:lpwstr>https://www.damtn.government.bg/wp-content/uploads/2024/03/damtn_otchet2023.pdf</vt:lpwstr>
      </vt:variant>
      <vt:variant>
        <vt:lpwstr/>
      </vt:variant>
      <vt:variant>
        <vt:i4>6619197</vt:i4>
      </vt:variant>
      <vt:variant>
        <vt:i4>0</vt:i4>
      </vt:variant>
      <vt:variant>
        <vt:i4>0</vt:i4>
      </vt:variant>
      <vt:variant>
        <vt:i4>5</vt:i4>
      </vt:variant>
      <vt:variant>
        <vt:lpwstr>http://www.strategy.bg/StrategicDocuments/View.aspx?lang=bg-BG&amp;Id=1288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MToteva</dc:creator>
  <cp:keywords/>
  <cp:lastModifiedBy>User</cp:lastModifiedBy>
  <cp:revision>16</cp:revision>
  <cp:lastPrinted>2024-08-14T08:46:00Z</cp:lastPrinted>
  <dcterms:created xsi:type="dcterms:W3CDTF">2024-08-29T12:35:00Z</dcterms:created>
  <dcterms:modified xsi:type="dcterms:W3CDTF">2024-09-17T08:50:00Z</dcterms:modified>
</cp:coreProperties>
</file>